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 w:val="0"/>
          <w:sz w:val="32"/>
          <w:szCs w:val="32"/>
        </w:rPr>
        <w:id w:val="10729564"/>
        <w:docPartObj>
          <w:docPartGallery w:val="Cover Pages"/>
          <w:docPartUnique/>
        </w:docPartObj>
      </w:sdtPr>
      <w:sdtEndPr/>
      <w:sdtContent>
        <w:p w14:paraId="4714A682" w14:textId="77777777" w:rsidR="00B95B88" w:rsidRDefault="00740D98" w:rsidP="006B67F3">
          <w:pPr>
            <w:pStyle w:val="Heading1"/>
            <w:ind w:left="180"/>
            <w:jc w:val="right"/>
          </w:pPr>
          <w:r>
            <w:t>Building, Well &amp; Septic</w:t>
          </w:r>
          <w:r w:rsidR="00B95B88">
            <w:t xml:space="preserve"> Fees</w:t>
          </w:r>
        </w:p>
        <w:p w14:paraId="7E44AC0E" w14:textId="46E41CA8" w:rsidR="00B95B88" w:rsidRDefault="00EF02DD" w:rsidP="00B95B88">
          <w:pPr>
            <w:pStyle w:val="Heading2"/>
          </w:pPr>
          <w:r>
            <w:t xml:space="preserve">Building </w:t>
          </w:r>
          <w:r w:rsidR="0030441C">
            <w:t xml:space="preserve">Permit </w:t>
          </w:r>
          <w:r>
            <w:t>Fees</w:t>
          </w:r>
          <w:r w:rsidR="00013C23">
            <w:t xml:space="preserve"> – </w:t>
          </w:r>
          <w:r w:rsidR="00D70D81">
            <w:t>Cities of Byron</w:t>
          </w:r>
          <w:r w:rsidR="0400C910">
            <w:t>, Chatfield</w:t>
          </w:r>
          <w:r w:rsidR="002242DC">
            <w:t xml:space="preserve">, Eyota </w:t>
          </w:r>
          <w:r w:rsidR="00D70D81">
            <w:t>&amp; Stewartville, Townships of Eyota, Marion, and Quincy</w:t>
          </w:r>
        </w:p>
      </w:sdtContent>
    </w:sdt>
    <w:p w14:paraId="47BD64EC" w14:textId="7828195E" w:rsidR="00EF02DD" w:rsidRDefault="00EF02DD" w:rsidP="0063275C">
      <w:pPr>
        <w:tabs>
          <w:tab w:val="left" w:leader="dot" w:pos="6480"/>
        </w:tabs>
        <w:spacing w:before="0" w:after="0" w:line="288" w:lineRule="auto"/>
      </w:pPr>
      <w:r>
        <w:t xml:space="preserve">Residential Building Permit </w:t>
      </w:r>
      <w:r w:rsidR="00B15638">
        <w:t>Fees (</w:t>
      </w:r>
      <w:r>
        <w:t>Groups U and R-3 Occupancies)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785"/>
        <w:gridCol w:w="7470"/>
      </w:tblGrid>
      <w:tr w:rsidR="0063275C" w:rsidRPr="0063275C" w14:paraId="3C360A8B" w14:textId="77777777" w:rsidTr="00C42DEB">
        <w:tc>
          <w:tcPr>
            <w:tcW w:w="2785" w:type="dxa"/>
          </w:tcPr>
          <w:p w14:paraId="56D9DFDD" w14:textId="77777777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  <w:rPr>
                <w:b/>
                <w:bCs/>
              </w:rPr>
            </w:pPr>
            <w:r w:rsidRPr="0063275C">
              <w:rPr>
                <w:b/>
                <w:bCs/>
              </w:rPr>
              <w:t>TOTAL VALUATION</w:t>
            </w:r>
          </w:p>
        </w:tc>
        <w:tc>
          <w:tcPr>
            <w:tcW w:w="7470" w:type="dxa"/>
          </w:tcPr>
          <w:p w14:paraId="7F6E0EAD" w14:textId="51408F8E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  <w:rPr>
                <w:b/>
                <w:bCs/>
              </w:rPr>
            </w:pPr>
            <w:r w:rsidRPr="0063275C">
              <w:rPr>
                <w:b/>
                <w:bCs/>
              </w:rPr>
              <w:t>BUILDING PERMIT FEE</w:t>
            </w:r>
            <w:r>
              <w:rPr>
                <w:b/>
                <w:bCs/>
              </w:rPr>
              <w:t>*</w:t>
            </w:r>
          </w:p>
        </w:tc>
      </w:tr>
      <w:tr w:rsidR="0063275C" w:rsidRPr="0063275C" w14:paraId="0D6A3107" w14:textId="77777777" w:rsidTr="00C42DEB">
        <w:tc>
          <w:tcPr>
            <w:tcW w:w="2785" w:type="dxa"/>
          </w:tcPr>
          <w:p w14:paraId="003F4E8B" w14:textId="0681D550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$1</w:t>
            </w:r>
            <w:r>
              <w:t>.00</w:t>
            </w:r>
            <w:r w:rsidRPr="0063275C">
              <w:t xml:space="preserve"> to $5</w:t>
            </w:r>
            <w:r w:rsidR="00592E2C">
              <w:t>,</w:t>
            </w:r>
            <w:r w:rsidRPr="0063275C">
              <w:t>00</w:t>
            </w:r>
            <w:r>
              <w:t>0</w:t>
            </w:r>
          </w:p>
        </w:tc>
        <w:tc>
          <w:tcPr>
            <w:tcW w:w="7470" w:type="dxa"/>
          </w:tcPr>
          <w:p w14:paraId="17B4C805" w14:textId="71CFF03F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</w:t>
            </w:r>
            <w:r>
              <w:t>84</w:t>
            </w:r>
            <w:r w:rsidRPr="0063275C">
              <w:t>.00</w:t>
            </w:r>
          </w:p>
        </w:tc>
      </w:tr>
      <w:tr w:rsidR="0063275C" w:rsidRPr="0063275C" w14:paraId="5714076B" w14:textId="77777777" w:rsidTr="00C42DEB">
        <w:tc>
          <w:tcPr>
            <w:tcW w:w="2785" w:type="dxa"/>
          </w:tcPr>
          <w:p w14:paraId="3DE786C8" w14:textId="418F8755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$5,001 to $100,000</w:t>
            </w:r>
          </w:p>
        </w:tc>
        <w:tc>
          <w:tcPr>
            <w:tcW w:w="7470" w:type="dxa"/>
          </w:tcPr>
          <w:p w14:paraId="762A7D40" w14:textId="6FF118AE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</w:t>
            </w:r>
            <w:r>
              <w:t>84</w:t>
            </w:r>
            <w:r w:rsidRPr="0063275C">
              <w:t>.00 for the first $5</w:t>
            </w:r>
            <w:r>
              <w:t>,000</w:t>
            </w:r>
            <w:r w:rsidRPr="0063275C">
              <w:t xml:space="preserve"> plus $</w:t>
            </w:r>
            <w:r>
              <w:t>4.90</w:t>
            </w:r>
            <w:r w:rsidRPr="0063275C">
              <w:t xml:space="preserve"> per additional $1</w:t>
            </w:r>
            <w:r>
              <w:t>,</w:t>
            </w:r>
            <w:r w:rsidRPr="0063275C">
              <w:t>00</w:t>
            </w:r>
            <w:r>
              <w:t>0</w:t>
            </w:r>
          </w:p>
        </w:tc>
      </w:tr>
      <w:tr w:rsidR="0063275C" w:rsidRPr="0063275C" w14:paraId="2C4100B9" w14:textId="77777777" w:rsidTr="00C42DEB">
        <w:tc>
          <w:tcPr>
            <w:tcW w:w="2785" w:type="dxa"/>
          </w:tcPr>
          <w:p w14:paraId="366D87C9" w14:textId="4ABB14E8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 xml:space="preserve">$100,001 and </w:t>
            </w:r>
            <w:r w:rsidR="00337FCF">
              <w:t>u</w:t>
            </w:r>
            <w:r>
              <w:t>p</w:t>
            </w:r>
          </w:p>
        </w:tc>
        <w:tc>
          <w:tcPr>
            <w:tcW w:w="7470" w:type="dxa"/>
          </w:tcPr>
          <w:p w14:paraId="22FF03C9" w14:textId="1F1D1E7A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$5</w:t>
            </w:r>
            <w:r>
              <w:t>49.50</w:t>
            </w:r>
            <w:r w:rsidRPr="0063275C">
              <w:t xml:space="preserve"> for the first $</w:t>
            </w:r>
            <w:r>
              <w:t>100,000</w:t>
            </w:r>
            <w:r w:rsidRPr="0063275C">
              <w:t xml:space="preserve"> plus $</w:t>
            </w:r>
            <w:r>
              <w:t>3</w:t>
            </w:r>
            <w:r w:rsidRPr="0063275C">
              <w:t>.00 per additional $1,000</w:t>
            </w:r>
          </w:p>
        </w:tc>
      </w:tr>
    </w:tbl>
    <w:p w14:paraId="47D5862E" w14:textId="77777777" w:rsidR="007D36C7" w:rsidRDefault="007D36C7" w:rsidP="0063275C">
      <w:pPr>
        <w:tabs>
          <w:tab w:val="left" w:leader="dot" w:pos="6480"/>
        </w:tabs>
        <w:spacing w:before="0" w:after="0" w:line="288" w:lineRule="auto"/>
      </w:pPr>
    </w:p>
    <w:p w14:paraId="5F024139" w14:textId="6AA2BB0E" w:rsidR="00EF02DD" w:rsidRDefault="00EF02DD" w:rsidP="00592E2C">
      <w:pPr>
        <w:tabs>
          <w:tab w:val="left" w:leader="dot" w:pos="6480"/>
        </w:tabs>
        <w:spacing w:before="0" w:after="0" w:line="288" w:lineRule="auto"/>
      </w:pPr>
      <w:r>
        <w:t xml:space="preserve">Commercial Building Permit Fees (Groups A, B, E, F, H, I M, S, U and R </w:t>
      </w:r>
      <w:r w:rsidR="00B15638">
        <w:t>Occupancies</w:t>
      </w:r>
      <w:r>
        <w:t>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785"/>
        <w:gridCol w:w="7470"/>
      </w:tblGrid>
      <w:tr w:rsidR="0063275C" w:rsidRPr="0063275C" w14:paraId="5FBEDFF3" w14:textId="77777777" w:rsidTr="00C42DEB">
        <w:tc>
          <w:tcPr>
            <w:tcW w:w="2785" w:type="dxa"/>
          </w:tcPr>
          <w:p w14:paraId="17A6F198" w14:textId="77777777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  <w:rPr>
                <w:b/>
                <w:bCs/>
              </w:rPr>
            </w:pPr>
            <w:r w:rsidRPr="0063275C">
              <w:rPr>
                <w:b/>
                <w:bCs/>
              </w:rPr>
              <w:t>TOTAL VALUATION</w:t>
            </w:r>
          </w:p>
        </w:tc>
        <w:tc>
          <w:tcPr>
            <w:tcW w:w="7470" w:type="dxa"/>
          </w:tcPr>
          <w:p w14:paraId="7A8F1FAB" w14:textId="5CBBB5BB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  <w:rPr>
                <w:b/>
                <w:bCs/>
              </w:rPr>
            </w:pPr>
            <w:r w:rsidRPr="0063275C">
              <w:rPr>
                <w:b/>
                <w:bCs/>
              </w:rPr>
              <w:t>BUILDING PERMIT FEE</w:t>
            </w:r>
            <w:r>
              <w:rPr>
                <w:b/>
                <w:bCs/>
              </w:rPr>
              <w:t>*</w:t>
            </w:r>
          </w:p>
        </w:tc>
      </w:tr>
      <w:tr w:rsidR="0063275C" w:rsidRPr="0063275C" w14:paraId="600C3EE0" w14:textId="77777777" w:rsidTr="00C42DEB">
        <w:tc>
          <w:tcPr>
            <w:tcW w:w="2785" w:type="dxa"/>
          </w:tcPr>
          <w:p w14:paraId="38A25ECB" w14:textId="2733BA61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$1</w:t>
            </w:r>
            <w:r>
              <w:t>.00</w:t>
            </w:r>
            <w:r w:rsidRPr="0063275C">
              <w:t xml:space="preserve"> to $5</w:t>
            </w:r>
            <w:r w:rsidR="00592E2C">
              <w:t>,</w:t>
            </w:r>
            <w:r w:rsidRPr="0063275C">
              <w:t>00</w:t>
            </w:r>
            <w:r>
              <w:t>0</w:t>
            </w:r>
          </w:p>
        </w:tc>
        <w:tc>
          <w:tcPr>
            <w:tcW w:w="7470" w:type="dxa"/>
          </w:tcPr>
          <w:p w14:paraId="481B72B4" w14:textId="2075C190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</w:t>
            </w:r>
            <w:r>
              <w:t>84.00</w:t>
            </w:r>
          </w:p>
        </w:tc>
      </w:tr>
      <w:tr w:rsidR="0063275C" w:rsidRPr="0063275C" w14:paraId="4A706A37" w14:textId="77777777" w:rsidTr="00C42DEB">
        <w:tc>
          <w:tcPr>
            <w:tcW w:w="2785" w:type="dxa"/>
          </w:tcPr>
          <w:p w14:paraId="50D50F42" w14:textId="30B3BF30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$5</w:t>
            </w:r>
            <w:r w:rsidR="0030441C">
              <w:t>,</w:t>
            </w:r>
            <w:r w:rsidRPr="0063275C">
              <w:t>0</w:t>
            </w:r>
            <w:r>
              <w:t>0</w:t>
            </w:r>
            <w:r w:rsidRPr="0063275C">
              <w:t>1 to $2</w:t>
            </w:r>
            <w:r>
              <w:t>5</w:t>
            </w:r>
            <w:r w:rsidRPr="0063275C">
              <w:t>,000</w:t>
            </w:r>
          </w:p>
        </w:tc>
        <w:tc>
          <w:tcPr>
            <w:tcW w:w="7470" w:type="dxa"/>
          </w:tcPr>
          <w:p w14:paraId="18B748CC" w14:textId="7A2EC965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</w:t>
            </w:r>
            <w:r>
              <w:t>84.00</w:t>
            </w:r>
            <w:r w:rsidRPr="0063275C">
              <w:t xml:space="preserve"> for the first $50</w:t>
            </w:r>
            <w:r>
              <w:t>0</w:t>
            </w:r>
            <w:r w:rsidRPr="0063275C">
              <w:t>0 plus $</w:t>
            </w:r>
            <w:r>
              <w:t>11</w:t>
            </w:r>
            <w:r w:rsidRPr="0063275C">
              <w:t>.00 per additional $1</w:t>
            </w:r>
            <w:r>
              <w:t>,</w:t>
            </w:r>
            <w:r w:rsidRPr="0063275C">
              <w:t>00</w:t>
            </w:r>
            <w:r>
              <w:t>0</w:t>
            </w:r>
          </w:p>
        </w:tc>
      </w:tr>
      <w:tr w:rsidR="0063275C" w:rsidRPr="0063275C" w14:paraId="66347667" w14:textId="77777777" w:rsidTr="00C42DEB">
        <w:tc>
          <w:tcPr>
            <w:tcW w:w="2785" w:type="dxa"/>
          </w:tcPr>
          <w:p w14:paraId="55A78AFC" w14:textId="531F772D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$25,00</w:t>
            </w:r>
            <w:r w:rsidR="00592E2C">
              <w:t>1</w:t>
            </w:r>
            <w:r>
              <w:t xml:space="preserve"> to $50,000</w:t>
            </w:r>
          </w:p>
        </w:tc>
        <w:tc>
          <w:tcPr>
            <w:tcW w:w="7470" w:type="dxa"/>
          </w:tcPr>
          <w:p w14:paraId="178BB892" w14:textId="177095AB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</w:t>
            </w:r>
            <w:r>
              <w:t>304.00</w:t>
            </w:r>
            <w:r w:rsidRPr="0063275C">
              <w:t xml:space="preserve"> for the first $</w:t>
            </w:r>
            <w:r>
              <w:t>25,000</w:t>
            </w:r>
            <w:r w:rsidRPr="0063275C">
              <w:t xml:space="preserve"> plus $</w:t>
            </w:r>
            <w:r>
              <w:t>8</w:t>
            </w:r>
            <w:r w:rsidRPr="0063275C">
              <w:t>.</w:t>
            </w:r>
            <w:r>
              <w:t>3</w:t>
            </w:r>
            <w:r w:rsidRPr="0063275C">
              <w:t>0 per additional $1,000</w:t>
            </w:r>
          </w:p>
        </w:tc>
      </w:tr>
      <w:tr w:rsidR="0063275C" w:rsidRPr="0063275C" w14:paraId="1E1FD4F2" w14:textId="77777777" w:rsidTr="00C42DEB">
        <w:tc>
          <w:tcPr>
            <w:tcW w:w="2785" w:type="dxa"/>
          </w:tcPr>
          <w:p w14:paraId="05AF448F" w14:textId="4AB8D05F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$50,00</w:t>
            </w:r>
            <w:r>
              <w:t>1 to $100,000</w:t>
            </w:r>
          </w:p>
        </w:tc>
        <w:tc>
          <w:tcPr>
            <w:tcW w:w="7470" w:type="dxa"/>
          </w:tcPr>
          <w:p w14:paraId="2FE5CE15" w14:textId="57913F1B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$511.50 for the first $50,000 plus $6.70 per additional $1,000</w:t>
            </w:r>
          </w:p>
        </w:tc>
      </w:tr>
      <w:tr w:rsidR="0063275C" w:rsidRPr="0063275C" w14:paraId="4663F586" w14:textId="77777777" w:rsidTr="00C42DEB">
        <w:tc>
          <w:tcPr>
            <w:tcW w:w="2785" w:type="dxa"/>
          </w:tcPr>
          <w:p w14:paraId="46390F2C" w14:textId="6AEF489B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$100,001 to $500,000</w:t>
            </w:r>
          </w:p>
        </w:tc>
        <w:tc>
          <w:tcPr>
            <w:tcW w:w="7470" w:type="dxa"/>
          </w:tcPr>
          <w:p w14:paraId="1607DADC" w14:textId="43CD5B28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$846.50 for the first $100,000 plus $4.80 per additional $1,000</w:t>
            </w:r>
          </w:p>
        </w:tc>
      </w:tr>
      <w:tr w:rsidR="0063275C" w:rsidRPr="0063275C" w14:paraId="24271FE3" w14:textId="77777777" w:rsidTr="00C42DEB">
        <w:tc>
          <w:tcPr>
            <w:tcW w:w="2785" w:type="dxa"/>
          </w:tcPr>
          <w:p w14:paraId="03CEFA16" w14:textId="734ACCA0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$500,001 to $1,000,000</w:t>
            </w:r>
          </w:p>
        </w:tc>
        <w:tc>
          <w:tcPr>
            <w:tcW w:w="7470" w:type="dxa"/>
          </w:tcPr>
          <w:p w14:paraId="365CE0C1" w14:textId="04D7185D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$2,766.50 for the first $500,000</w:t>
            </w:r>
            <w:r w:rsidR="00592E2C">
              <w:t xml:space="preserve"> plus $2.50 per additional $1,000</w:t>
            </w:r>
          </w:p>
        </w:tc>
      </w:tr>
      <w:tr w:rsidR="0063275C" w:rsidRPr="0063275C" w14:paraId="4D8E38F1" w14:textId="77777777" w:rsidTr="00C42DEB">
        <w:tc>
          <w:tcPr>
            <w:tcW w:w="2785" w:type="dxa"/>
          </w:tcPr>
          <w:p w14:paraId="0BFEFDCB" w14:textId="6AF46CF4" w:rsidR="0063275C" w:rsidRPr="0063275C" w:rsidRDefault="0063275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$1,000,001 and up</w:t>
            </w:r>
          </w:p>
        </w:tc>
        <w:tc>
          <w:tcPr>
            <w:tcW w:w="7470" w:type="dxa"/>
          </w:tcPr>
          <w:p w14:paraId="505AFC4F" w14:textId="7745CF04" w:rsidR="0063275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$4,016.50 for the first $1,000,000 plus $1.00 per additional $1,000</w:t>
            </w:r>
          </w:p>
        </w:tc>
      </w:tr>
    </w:tbl>
    <w:p w14:paraId="10C1D195" w14:textId="5AAE8573" w:rsidR="00904B82" w:rsidRPr="00904B82" w:rsidRDefault="00904B82" w:rsidP="00904B82">
      <w:pPr>
        <w:tabs>
          <w:tab w:val="left" w:leader="dot" w:pos="6480"/>
        </w:tabs>
        <w:spacing w:before="0" w:after="0" w:line="288" w:lineRule="auto"/>
        <w:rPr>
          <w:b/>
          <w:bCs/>
        </w:rPr>
      </w:pPr>
      <w:r w:rsidRPr="00904B82">
        <w:rPr>
          <w:b/>
          <w:bCs/>
        </w:rPr>
        <w:t xml:space="preserve">Plan Review Fee </w:t>
      </w:r>
      <w:r>
        <w:rPr>
          <w:b/>
          <w:bCs/>
        </w:rPr>
        <w:t>equals</w:t>
      </w:r>
      <w:r w:rsidRPr="00904B82">
        <w:rPr>
          <w:b/>
          <w:bCs/>
        </w:rPr>
        <w:t xml:space="preserve"> 65% of </w:t>
      </w:r>
      <w:proofErr w:type="gramStart"/>
      <w:r w:rsidRPr="00904B82">
        <w:rPr>
          <w:b/>
          <w:bCs/>
        </w:rPr>
        <w:t>building</w:t>
      </w:r>
      <w:proofErr w:type="gramEnd"/>
      <w:r w:rsidRPr="00904B82">
        <w:rPr>
          <w:b/>
          <w:bCs/>
        </w:rPr>
        <w:t xml:space="preserve"> permit fee based on the permit fee </w:t>
      </w:r>
      <w:proofErr w:type="gramStart"/>
      <w:r w:rsidRPr="00904B82">
        <w:rPr>
          <w:b/>
          <w:bCs/>
        </w:rPr>
        <w:t>schedules</w:t>
      </w:r>
      <w:proofErr w:type="gramEnd"/>
      <w:r w:rsidRPr="00904B82">
        <w:rPr>
          <w:b/>
          <w:bCs/>
        </w:rPr>
        <w:t xml:space="preserve"> </w:t>
      </w:r>
      <w:r>
        <w:rPr>
          <w:b/>
          <w:bCs/>
        </w:rPr>
        <w:t>above. Plan review fees are assessed for permits that require code analysis including but not limited to new structures, remodels, additions, decks, and commercial projects.</w:t>
      </w:r>
    </w:p>
    <w:p w14:paraId="6473EA95" w14:textId="4EA59988" w:rsidR="00E602F8" w:rsidRDefault="001D3EFA" w:rsidP="00592E2C">
      <w:pPr>
        <w:pStyle w:val="Heading2"/>
      </w:pPr>
      <w:r>
        <w:t>Plumbing and Mechanical Permit Fees</w:t>
      </w:r>
      <w:r w:rsidR="00013C23">
        <w:t xml:space="preserve"> - Cit</w:t>
      </w:r>
      <w:r w:rsidR="00D70D81">
        <w:t>ies</w:t>
      </w:r>
      <w:r w:rsidR="00013C23">
        <w:t xml:space="preserve"> of </w:t>
      </w:r>
      <w:r w:rsidR="00D70D81">
        <w:t>Byron</w:t>
      </w:r>
      <w:r w:rsidR="4D0948C2">
        <w:t>, Chatfield</w:t>
      </w:r>
      <w:r w:rsidR="002242DC">
        <w:t>, Eyota</w:t>
      </w:r>
      <w:r w:rsidR="4D0948C2">
        <w:t xml:space="preserve"> </w:t>
      </w:r>
      <w:r w:rsidR="00D70D81">
        <w:t xml:space="preserve">&amp; </w:t>
      </w:r>
      <w:r w:rsidR="00013C23">
        <w:t>Stewartville, Townships of Eyota, Marion, and Quincy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785"/>
        <w:gridCol w:w="7470"/>
      </w:tblGrid>
      <w:tr w:rsidR="00592E2C" w:rsidRPr="0063275C" w14:paraId="35229C1C" w14:textId="77777777" w:rsidTr="00C42DEB">
        <w:tc>
          <w:tcPr>
            <w:tcW w:w="2785" w:type="dxa"/>
          </w:tcPr>
          <w:p w14:paraId="6E96E243" w14:textId="77777777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  <w:rPr>
                <w:b/>
                <w:bCs/>
              </w:rPr>
            </w:pPr>
            <w:r w:rsidRPr="0063275C">
              <w:rPr>
                <w:b/>
                <w:bCs/>
              </w:rPr>
              <w:t>TOTAL VALUATION</w:t>
            </w:r>
          </w:p>
        </w:tc>
        <w:tc>
          <w:tcPr>
            <w:tcW w:w="7470" w:type="dxa"/>
          </w:tcPr>
          <w:p w14:paraId="2D73236B" w14:textId="77777777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  <w:rPr>
                <w:b/>
                <w:bCs/>
              </w:rPr>
            </w:pPr>
            <w:r w:rsidRPr="0063275C">
              <w:rPr>
                <w:b/>
                <w:bCs/>
              </w:rPr>
              <w:t>BUILDING PERMIT FEE</w:t>
            </w:r>
            <w:r>
              <w:rPr>
                <w:b/>
                <w:bCs/>
              </w:rPr>
              <w:t>*</w:t>
            </w:r>
          </w:p>
        </w:tc>
      </w:tr>
      <w:tr w:rsidR="00592E2C" w:rsidRPr="0063275C" w14:paraId="0A7C72A6" w14:textId="77777777" w:rsidTr="00C42DEB">
        <w:tc>
          <w:tcPr>
            <w:tcW w:w="2785" w:type="dxa"/>
          </w:tcPr>
          <w:p w14:paraId="0BCBA8A7" w14:textId="03BA9005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$1</w:t>
            </w:r>
            <w:r>
              <w:t>.00</w:t>
            </w:r>
            <w:r w:rsidRPr="0063275C">
              <w:t xml:space="preserve"> to $5</w:t>
            </w:r>
            <w:r>
              <w:t>,</w:t>
            </w:r>
            <w:r w:rsidRPr="0063275C">
              <w:t>00</w:t>
            </w:r>
            <w:r>
              <w:t>0</w:t>
            </w:r>
          </w:p>
        </w:tc>
        <w:tc>
          <w:tcPr>
            <w:tcW w:w="7470" w:type="dxa"/>
          </w:tcPr>
          <w:p w14:paraId="1F11D747" w14:textId="77777777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</w:t>
            </w:r>
            <w:r>
              <w:t>84.00</w:t>
            </w:r>
          </w:p>
        </w:tc>
      </w:tr>
      <w:tr w:rsidR="00592E2C" w:rsidRPr="0063275C" w14:paraId="3F3DEFF6" w14:textId="77777777" w:rsidTr="00C42DEB">
        <w:tc>
          <w:tcPr>
            <w:tcW w:w="2785" w:type="dxa"/>
          </w:tcPr>
          <w:p w14:paraId="6346F217" w14:textId="7B3F63DE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$5</w:t>
            </w:r>
            <w:r w:rsidR="00BF1E49">
              <w:t>,</w:t>
            </w:r>
            <w:r w:rsidRPr="0063275C">
              <w:t>0</w:t>
            </w:r>
            <w:r>
              <w:t>0</w:t>
            </w:r>
            <w:r w:rsidRPr="0063275C">
              <w:t>1 to $2</w:t>
            </w:r>
            <w:r>
              <w:t>5</w:t>
            </w:r>
            <w:r w:rsidRPr="0063275C">
              <w:t>,000</w:t>
            </w:r>
          </w:p>
        </w:tc>
        <w:tc>
          <w:tcPr>
            <w:tcW w:w="7470" w:type="dxa"/>
          </w:tcPr>
          <w:p w14:paraId="33C24781" w14:textId="49E7290B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</w:t>
            </w:r>
            <w:r>
              <w:t>84.00</w:t>
            </w:r>
            <w:r w:rsidRPr="0063275C">
              <w:t xml:space="preserve"> for the first $5</w:t>
            </w:r>
            <w:r w:rsidR="00BF1E49">
              <w:t>,</w:t>
            </w:r>
            <w:r w:rsidRPr="0063275C">
              <w:t>0</w:t>
            </w:r>
            <w:r>
              <w:t>0</w:t>
            </w:r>
            <w:r w:rsidRPr="0063275C">
              <w:t>0 plus $</w:t>
            </w:r>
            <w:r>
              <w:t>16.30</w:t>
            </w:r>
            <w:r w:rsidRPr="0063275C">
              <w:t xml:space="preserve"> per additional $1</w:t>
            </w:r>
            <w:r>
              <w:t>,</w:t>
            </w:r>
            <w:r w:rsidRPr="0063275C">
              <w:t>00</w:t>
            </w:r>
            <w:r>
              <w:t>0</w:t>
            </w:r>
          </w:p>
        </w:tc>
      </w:tr>
      <w:tr w:rsidR="00592E2C" w:rsidRPr="0063275C" w14:paraId="101301C2" w14:textId="77777777" w:rsidTr="00C42DEB">
        <w:tc>
          <w:tcPr>
            <w:tcW w:w="2785" w:type="dxa"/>
          </w:tcPr>
          <w:p w14:paraId="462B90E0" w14:textId="02152BF0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$25,00</w:t>
            </w:r>
            <w:r>
              <w:t>1 to $100,000</w:t>
            </w:r>
          </w:p>
        </w:tc>
        <w:tc>
          <w:tcPr>
            <w:tcW w:w="7470" w:type="dxa"/>
          </w:tcPr>
          <w:p w14:paraId="1061B96B" w14:textId="75F27BEC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 w:rsidRPr="0063275C">
              <w:t>$</w:t>
            </w:r>
            <w:r>
              <w:t>410.00</w:t>
            </w:r>
            <w:r w:rsidRPr="0063275C">
              <w:t xml:space="preserve"> for the first $</w:t>
            </w:r>
            <w:r>
              <w:t>25,000</w:t>
            </w:r>
            <w:r w:rsidRPr="0063275C">
              <w:t xml:space="preserve"> plus $</w:t>
            </w:r>
            <w:r>
              <w:t>9.90</w:t>
            </w:r>
            <w:r w:rsidRPr="0063275C">
              <w:t xml:space="preserve"> per additional $1,000</w:t>
            </w:r>
          </w:p>
        </w:tc>
      </w:tr>
      <w:tr w:rsidR="00592E2C" w:rsidRPr="0063275C" w14:paraId="5DBD16BE" w14:textId="77777777" w:rsidTr="00C42DEB">
        <w:tc>
          <w:tcPr>
            <w:tcW w:w="2785" w:type="dxa"/>
          </w:tcPr>
          <w:p w14:paraId="443738AE" w14:textId="15013CF7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$100,001 to $500,000</w:t>
            </w:r>
          </w:p>
        </w:tc>
        <w:tc>
          <w:tcPr>
            <w:tcW w:w="7470" w:type="dxa"/>
          </w:tcPr>
          <w:p w14:paraId="158656D0" w14:textId="38B90F04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$1,152.50 for the first $100,000 plus $6.70 per additional $1,000</w:t>
            </w:r>
          </w:p>
        </w:tc>
      </w:tr>
      <w:tr w:rsidR="00592E2C" w:rsidRPr="0063275C" w14:paraId="3BC24BC3" w14:textId="77777777" w:rsidTr="00C42DEB">
        <w:tc>
          <w:tcPr>
            <w:tcW w:w="2785" w:type="dxa"/>
          </w:tcPr>
          <w:p w14:paraId="3A1E652B" w14:textId="61468394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lastRenderedPageBreak/>
              <w:t>$500,001 to $1,000,000</w:t>
            </w:r>
          </w:p>
        </w:tc>
        <w:tc>
          <w:tcPr>
            <w:tcW w:w="7470" w:type="dxa"/>
          </w:tcPr>
          <w:p w14:paraId="3B1BFCE9" w14:textId="5A9847D9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$3,832.50 for the first $500,000 plus $3.50 per additional $1,000</w:t>
            </w:r>
          </w:p>
        </w:tc>
      </w:tr>
      <w:tr w:rsidR="00592E2C" w:rsidRPr="0063275C" w14:paraId="2645F140" w14:textId="77777777" w:rsidTr="00C42DEB">
        <w:tc>
          <w:tcPr>
            <w:tcW w:w="2785" w:type="dxa"/>
          </w:tcPr>
          <w:p w14:paraId="27E15EDE" w14:textId="08D37CC1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$1,000,001 and up</w:t>
            </w:r>
          </w:p>
        </w:tc>
        <w:tc>
          <w:tcPr>
            <w:tcW w:w="7470" w:type="dxa"/>
          </w:tcPr>
          <w:p w14:paraId="0C013B20" w14:textId="6B584AD7" w:rsidR="00592E2C" w:rsidRPr="0063275C" w:rsidRDefault="00592E2C" w:rsidP="00C42DEB">
            <w:pPr>
              <w:tabs>
                <w:tab w:val="left" w:leader="dot" w:pos="6480"/>
              </w:tabs>
              <w:spacing w:before="0" w:after="0" w:line="288" w:lineRule="auto"/>
            </w:pPr>
            <w:r>
              <w:t>$5,582.50 for the first $500,000 plus $2.30 per additional $1,000</w:t>
            </w:r>
          </w:p>
        </w:tc>
      </w:tr>
    </w:tbl>
    <w:p w14:paraId="387E3223" w14:textId="77777777" w:rsidR="00D70D81" w:rsidRDefault="00D70D81" w:rsidP="00D70D81">
      <w:pPr>
        <w:pStyle w:val="Heading2"/>
        <w:spacing w:after="0" w:line="240" w:lineRule="auto"/>
      </w:pPr>
      <w:r w:rsidRPr="004909D9">
        <w:t>Zoning Permit Fees – Residential Uses</w:t>
      </w:r>
    </w:p>
    <w:p w14:paraId="5C5643E7" w14:textId="77777777" w:rsidR="00D70D81" w:rsidRDefault="00D70D81" w:rsidP="00D70D81">
      <w:pPr>
        <w:tabs>
          <w:tab w:val="left" w:leader="dot" w:pos="6480"/>
        </w:tabs>
        <w:spacing w:before="0" w:after="240" w:line="240" w:lineRule="auto"/>
      </w:pPr>
      <w:r>
        <w:t>Values of improvement building, grading, etc., according to the following schedule.</w:t>
      </w:r>
    </w:p>
    <w:p w14:paraId="7477D0ED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$1 to $500</w:t>
      </w:r>
      <w:r>
        <w:tab/>
        <w:t>$28 per permit</w:t>
      </w:r>
    </w:p>
    <w:p w14:paraId="33971666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$501 to $2,000</w:t>
      </w:r>
      <w:r>
        <w:tab/>
        <w:t>$28 + $1.5 per $100</w:t>
      </w:r>
    </w:p>
    <w:p w14:paraId="46431C19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$2,001 to $25,000</w:t>
      </w:r>
      <w:r>
        <w:tab/>
        <w:t>$50.5 + $3 per $1000</w:t>
      </w:r>
    </w:p>
    <w:p w14:paraId="1799CB25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$25,001 to $50,000</w:t>
      </w:r>
      <w:r>
        <w:tab/>
        <w:t>$119.5 + $2.15 per $1000</w:t>
      </w:r>
    </w:p>
    <w:p w14:paraId="0212F8AD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$50,001 to $100,000</w:t>
      </w:r>
      <w:r>
        <w:tab/>
        <w:t>$173.25 + $0.75 per$1000</w:t>
      </w:r>
    </w:p>
    <w:p w14:paraId="2CDABB19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$100,001 and up</w:t>
      </w:r>
      <w:r>
        <w:tab/>
        <w:t>$210.75 + $0.25 per $1000</w:t>
      </w:r>
    </w:p>
    <w:p w14:paraId="5E48750A" w14:textId="77777777" w:rsidR="00D70D81" w:rsidRDefault="00D70D81" w:rsidP="00D70D81">
      <w:pPr>
        <w:pStyle w:val="Heading2"/>
        <w:spacing w:after="0" w:line="240" w:lineRule="auto"/>
      </w:pPr>
      <w:r>
        <w:t>Zoning Permit Fees - Multiple Family and Non-Residential Uses</w:t>
      </w:r>
    </w:p>
    <w:p w14:paraId="1CBEF200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</w:pPr>
      <w:r>
        <w:t>(Values of improvement building, grading, etc., according to the following schedule)</w:t>
      </w:r>
    </w:p>
    <w:p w14:paraId="6456BD05" w14:textId="77777777" w:rsidR="00D70D81" w:rsidRDefault="00D70D81" w:rsidP="00D70D81">
      <w:pPr>
        <w:tabs>
          <w:tab w:val="left" w:leader="dot" w:pos="6480"/>
        </w:tabs>
        <w:spacing w:before="240" w:after="0" w:line="240" w:lineRule="auto"/>
        <w:ind w:left="720"/>
      </w:pPr>
      <w:r>
        <w:t>$1 to $500</w:t>
      </w:r>
      <w:r>
        <w:tab/>
        <w:t>$28 per permit</w:t>
      </w:r>
      <w:r>
        <w:br/>
        <w:t>$501 to $2,000</w:t>
      </w:r>
      <w:r>
        <w:tab/>
        <w:t>$28 + $2.05 per $100</w:t>
      </w:r>
    </w:p>
    <w:p w14:paraId="6E9E4C8B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$2,001 to $25,000</w:t>
      </w:r>
      <w:r>
        <w:tab/>
        <w:t>$58.75 + $4.4 per $1000</w:t>
      </w:r>
    </w:p>
    <w:p w14:paraId="49EB67A2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$25,001 to $50,000</w:t>
      </w:r>
      <w:r>
        <w:tab/>
        <w:t>$159.95 + $1.8 per $1000</w:t>
      </w:r>
    </w:p>
    <w:p w14:paraId="66F3847F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$50,001 to $100,000</w:t>
      </w:r>
      <w:r>
        <w:tab/>
        <w:t>$204.95 + $1.1 per $1000</w:t>
      </w:r>
    </w:p>
    <w:p w14:paraId="272EE364" w14:textId="77777777" w:rsidR="00D70D81" w:rsidRDefault="00D70D81" w:rsidP="00D70D81">
      <w:pPr>
        <w:tabs>
          <w:tab w:val="left" w:leader="dot" w:pos="6480"/>
        </w:tabs>
        <w:spacing w:before="0" w:after="0" w:line="240" w:lineRule="auto"/>
        <w:ind w:left="720"/>
      </w:pPr>
      <w:r>
        <w:t>$100,001 and up</w:t>
      </w:r>
      <w:r>
        <w:tab/>
        <w:t>$259.95 + $0.25 per $1000</w:t>
      </w:r>
    </w:p>
    <w:p w14:paraId="4CD63258" w14:textId="77777777" w:rsidR="00D70D81" w:rsidRDefault="00D70D81" w:rsidP="00D70D81">
      <w:r w:rsidRPr="00A178B2">
        <w:rPr>
          <w:b/>
        </w:rPr>
        <w:t>Double Fee:</w:t>
      </w:r>
      <w:r>
        <w:t xml:space="preserve"> When the building construction or remodeling has occurred prior to issuing of the zoning certificate, a double fee </w:t>
      </w:r>
      <w:proofErr w:type="gramStart"/>
      <w:r>
        <w:t>maybe</w:t>
      </w:r>
      <w:proofErr w:type="gramEnd"/>
      <w:r>
        <w:t xml:space="preserve"> imposed.</w:t>
      </w:r>
    </w:p>
    <w:p w14:paraId="046B4E02" w14:textId="061DF382" w:rsidR="00D70D81" w:rsidRDefault="02C1D874" w:rsidP="00697E0F">
      <w:pPr>
        <w:pStyle w:val="Heading2"/>
      </w:pPr>
      <w:r>
        <w:t xml:space="preserve">City </w:t>
      </w:r>
      <w:r w:rsidR="00D70D81">
        <w:t>Specific Fees</w:t>
      </w:r>
    </w:p>
    <w:p w14:paraId="2157FBB4" w14:textId="31A0BFE3" w:rsidR="00D70D81" w:rsidRPr="00D70D81" w:rsidRDefault="00D70D81" w:rsidP="00D70D81">
      <w:pPr>
        <w:rPr>
          <w:lang w:bidi="ar-SA"/>
        </w:rPr>
      </w:pPr>
      <w:r w:rsidRPr="61E0E125">
        <w:rPr>
          <w:lang w:bidi="ar-SA"/>
        </w:rPr>
        <w:t xml:space="preserve">As determined by the </w:t>
      </w:r>
      <w:r w:rsidR="6961787E" w:rsidRPr="61E0E125">
        <w:rPr>
          <w:lang w:bidi="ar-SA"/>
        </w:rPr>
        <w:t>municipality</w:t>
      </w:r>
      <w:r w:rsidRPr="61E0E125">
        <w:rPr>
          <w:lang w:bidi="ar-SA"/>
        </w:rPr>
        <w:t xml:space="preserve"> based on scope of work, including but not limited to Zoning Fee, Parkland Determination Fee, Water Access Charges, Sewer Access Charges, etc.</w:t>
      </w:r>
    </w:p>
    <w:p w14:paraId="4DFB40AD" w14:textId="0074303D" w:rsidR="00386F01" w:rsidRPr="00697E0F" w:rsidRDefault="00697E0F" w:rsidP="00697E0F">
      <w:pPr>
        <w:pStyle w:val="Heading2"/>
      </w:pPr>
      <w:r w:rsidRPr="00697E0F">
        <w:t>Other Permit Fees</w:t>
      </w:r>
    </w:p>
    <w:p w14:paraId="3AED11ED" w14:textId="77777777" w:rsidR="00BC6107" w:rsidRDefault="00BC6107" w:rsidP="00B74933">
      <w:pPr>
        <w:tabs>
          <w:tab w:val="left" w:leader="dot" w:pos="6300"/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 xml:space="preserve">Agricultural </w:t>
      </w:r>
      <w:r w:rsidR="00F339CD">
        <w:rPr>
          <w:lang w:bidi="ar-SA"/>
        </w:rPr>
        <w:t>Building Permit</w:t>
      </w:r>
      <w:r w:rsidR="00F339CD">
        <w:rPr>
          <w:lang w:bidi="ar-SA"/>
        </w:rPr>
        <w:tab/>
        <w:t>$135 per permit</w:t>
      </w:r>
    </w:p>
    <w:p w14:paraId="33D58C36" w14:textId="77777777" w:rsidR="00697E0F" w:rsidRDefault="006C3F81" w:rsidP="00715983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Footings</w:t>
      </w:r>
    </w:p>
    <w:p w14:paraId="2270C8AA" w14:textId="77777777" w:rsidR="006C3F81" w:rsidRDefault="006C3F81" w:rsidP="00B74933">
      <w:pPr>
        <w:tabs>
          <w:tab w:val="left" w:leader="dot" w:pos="6300"/>
          <w:tab w:val="right" w:pos="9360"/>
        </w:tabs>
        <w:spacing w:before="100" w:beforeAutospacing="1" w:after="100" w:afterAutospacing="1" w:line="288" w:lineRule="auto"/>
        <w:ind w:firstLine="270"/>
        <w:contextualSpacing/>
        <w:rPr>
          <w:lang w:bidi="ar-SA"/>
        </w:rPr>
      </w:pPr>
      <w:r>
        <w:rPr>
          <w:lang w:bidi="ar-SA"/>
        </w:rPr>
        <w:t xml:space="preserve">Residential – </w:t>
      </w:r>
      <w:r w:rsidR="00A05CA7">
        <w:rPr>
          <w:lang w:bidi="ar-SA"/>
        </w:rPr>
        <w:t>N</w:t>
      </w:r>
      <w:r>
        <w:rPr>
          <w:lang w:bidi="ar-SA"/>
        </w:rPr>
        <w:t>ew</w:t>
      </w:r>
      <w:r>
        <w:rPr>
          <w:lang w:bidi="ar-SA"/>
        </w:rPr>
        <w:tab/>
        <w:t>$89 per permit</w:t>
      </w:r>
      <w:r w:rsidR="00A05CA7">
        <w:rPr>
          <w:lang w:bidi="ar-SA"/>
        </w:rPr>
        <w:t>*</w:t>
      </w:r>
    </w:p>
    <w:p w14:paraId="5BCEDB74" w14:textId="77777777" w:rsidR="006C3F81" w:rsidRDefault="00674325" w:rsidP="00B74933">
      <w:pPr>
        <w:tabs>
          <w:tab w:val="left" w:leader="dot" w:pos="6300"/>
          <w:tab w:val="right" w:pos="9360"/>
        </w:tabs>
        <w:spacing w:before="100" w:beforeAutospacing="1" w:after="100" w:afterAutospacing="1" w:line="288" w:lineRule="auto"/>
        <w:ind w:firstLine="270"/>
        <w:contextualSpacing/>
        <w:rPr>
          <w:lang w:bidi="ar-SA"/>
        </w:rPr>
      </w:pPr>
      <w:r>
        <w:rPr>
          <w:lang w:bidi="ar-SA"/>
        </w:rPr>
        <w:t>Residential</w:t>
      </w:r>
      <w:r w:rsidR="006C3F81">
        <w:rPr>
          <w:lang w:bidi="ar-SA"/>
        </w:rPr>
        <w:t xml:space="preserve"> Addition</w:t>
      </w:r>
      <w:r w:rsidR="006C3F81">
        <w:rPr>
          <w:lang w:bidi="ar-SA"/>
        </w:rPr>
        <w:tab/>
        <w:t>$61 per permit</w:t>
      </w:r>
      <w:r w:rsidR="00A05CA7">
        <w:rPr>
          <w:lang w:bidi="ar-SA"/>
        </w:rPr>
        <w:t>*</w:t>
      </w:r>
    </w:p>
    <w:p w14:paraId="29C5C5BD" w14:textId="77777777" w:rsidR="006C3F81" w:rsidRDefault="00674325" w:rsidP="00B74933">
      <w:pPr>
        <w:tabs>
          <w:tab w:val="left" w:leader="dot" w:pos="6300"/>
          <w:tab w:val="right" w:pos="9360"/>
        </w:tabs>
        <w:spacing w:before="100" w:beforeAutospacing="1" w:after="100" w:afterAutospacing="1" w:line="288" w:lineRule="auto"/>
        <w:ind w:firstLine="270"/>
        <w:contextualSpacing/>
        <w:rPr>
          <w:lang w:bidi="ar-SA"/>
        </w:rPr>
      </w:pPr>
      <w:r>
        <w:rPr>
          <w:lang w:bidi="ar-SA"/>
        </w:rPr>
        <w:t>Commercial</w:t>
      </w:r>
      <w:r w:rsidR="006C3F81">
        <w:rPr>
          <w:lang w:bidi="ar-SA"/>
        </w:rPr>
        <w:t xml:space="preserve"> – </w:t>
      </w:r>
      <w:r w:rsidR="00A05CA7">
        <w:rPr>
          <w:lang w:bidi="ar-SA"/>
        </w:rPr>
        <w:t>N</w:t>
      </w:r>
      <w:r w:rsidR="006C3F81">
        <w:rPr>
          <w:lang w:bidi="ar-SA"/>
        </w:rPr>
        <w:t>ew</w:t>
      </w:r>
      <w:r w:rsidR="006C3F81">
        <w:rPr>
          <w:lang w:bidi="ar-SA"/>
        </w:rPr>
        <w:tab/>
        <w:t>$118 per permit</w:t>
      </w:r>
      <w:r w:rsidR="00A05CA7">
        <w:rPr>
          <w:lang w:bidi="ar-SA"/>
        </w:rPr>
        <w:t>*</w:t>
      </w:r>
    </w:p>
    <w:p w14:paraId="233F99E9" w14:textId="77777777" w:rsidR="006C3F81" w:rsidRDefault="00674325" w:rsidP="00592E2C">
      <w:pPr>
        <w:tabs>
          <w:tab w:val="left" w:leader="dot" w:pos="7200"/>
        </w:tabs>
        <w:spacing w:before="100" w:beforeAutospacing="1" w:after="100" w:afterAutospacing="1" w:line="288" w:lineRule="auto"/>
        <w:ind w:firstLine="270"/>
        <w:contextualSpacing/>
        <w:rPr>
          <w:lang w:bidi="ar-SA"/>
        </w:rPr>
      </w:pPr>
      <w:r>
        <w:rPr>
          <w:lang w:bidi="ar-SA"/>
        </w:rPr>
        <w:t>Commercial</w:t>
      </w:r>
      <w:r w:rsidR="006C3F81">
        <w:rPr>
          <w:lang w:bidi="ar-SA"/>
        </w:rPr>
        <w:t xml:space="preserve"> Addition</w:t>
      </w:r>
      <w:r w:rsidR="006C3F81">
        <w:rPr>
          <w:lang w:bidi="ar-SA"/>
        </w:rPr>
        <w:tab/>
        <w:t>$89 per permit</w:t>
      </w:r>
      <w:r w:rsidR="00A05CA7">
        <w:rPr>
          <w:lang w:bidi="ar-SA"/>
        </w:rPr>
        <w:t>*</w:t>
      </w:r>
    </w:p>
    <w:p w14:paraId="5A00469A" w14:textId="77777777" w:rsidR="006C3F81" w:rsidRDefault="006C3F81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Inspection Request for less than 24</w:t>
      </w:r>
      <w:r w:rsidR="00674325">
        <w:rPr>
          <w:lang w:bidi="ar-SA"/>
        </w:rPr>
        <w:t>-Hour Notice</w:t>
      </w:r>
      <w:r>
        <w:rPr>
          <w:lang w:bidi="ar-SA"/>
        </w:rPr>
        <w:tab/>
        <w:t>$89 per inspection</w:t>
      </w:r>
    </w:p>
    <w:p w14:paraId="57A15C4F" w14:textId="77777777" w:rsidR="006C3F81" w:rsidRDefault="006C3F81" w:rsidP="00F05A5F">
      <w:pPr>
        <w:tabs>
          <w:tab w:val="left" w:leader="dot" w:pos="6480"/>
          <w:tab w:val="left" w:leader="dot" w:pos="684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Manufactured Home</w:t>
      </w:r>
    </w:p>
    <w:p w14:paraId="645F1EC9" w14:textId="77777777" w:rsidR="006C3F81" w:rsidRDefault="006C3F81" w:rsidP="00A110D3">
      <w:pPr>
        <w:tabs>
          <w:tab w:val="left" w:leader="dot" w:pos="7200"/>
        </w:tabs>
        <w:spacing w:before="100" w:beforeAutospacing="1" w:after="100" w:afterAutospacing="1" w:line="288" w:lineRule="auto"/>
        <w:ind w:firstLine="720"/>
        <w:contextualSpacing/>
        <w:rPr>
          <w:lang w:bidi="ar-SA"/>
        </w:rPr>
      </w:pPr>
      <w:r>
        <w:rPr>
          <w:lang w:bidi="ar-SA"/>
        </w:rPr>
        <w:t>Installation Inspection</w:t>
      </w:r>
      <w:r>
        <w:rPr>
          <w:lang w:bidi="ar-SA"/>
        </w:rPr>
        <w:tab/>
        <w:t>$360 per permit</w:t>
      </w:r>
      <w:r w:rsidR="00A05CA7">
        <w:rPr>
          <w:lang w:bidi="ar-SA"/>
        </w:rPr>
        <w:t>*</w:t>
      </w:r>
    </w:p>
    <w:p w14:paraId="302CE7ED" w14:textId="77777777" w:rsidR="006C3F81" w:rsidRDefault="006C3F81" w:rsidP="00A110D3">
      <w:pPr>
        <w:tabs>
          <w:tab w:val="left" w:leader="dot" w:pos="7200"/>
        </w:tabs>
        <w:spacing w:before="100" w:beforeAutospacing="1" w:after="100" w:afterAutospacing="1" w:line="288" w:lineRule="auto"/>
        <w:ind w:firstLine="720"/>
        <w:contextualSpacing/>
        <w:rPr>
          <w:lang w:bidi="ar-SA"/>
        </w:rPr>
      </w:pPr>
      <w:r>
        <w:rPr>
          <w:lang w:bidi="ar-SA"/>
        </w:rPr>
        <w:lastRenderedPageBreak/>
        <w:t>Pier Footings</w:t>
      </w:r>
      <w:r>
        <w:rPr>
          <w:lang w:bidi="ar-SA"/>
        </w:rPr>
        <w:tab/>
        <w:t>$89 per permit</w:t>
      </w:r>
      <w:r w:rsidR="00A05CA7">
        <w:rPr>
          <w:lang w:bidi="ar-SA"/>
        </w:rPr>
        <w:t>*</w:t>
      </w:r>
    </w:p>
    <w:p w14:paraId="45CA3FF2" w14:textId="5FA166B7" w:rsidR="00D62F84" w:rsidRDefault="00D62F84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Re-Inspection</w:t>
      </w:r>
      <w:r>
        <w:rPr>
          <w:lang w:bidi="ar-SA"/>
        </w:rPr>
        <w:tab/>
        <w:t>$89 per inspection</w:t>
      </w:r>
    </w:p>
    <w:p w14:paraId="7B040060" w14:textId="77777777" w:rsidR="00386F01" w:rsidRDefault="00674325" w:rsidP="00F05A5F">
      <w:pPr>
        <w:tabs>
          <w:tab w:val="left" w:leader="dot" w:pos="6480"/>
          <w:tab w:val="left" w:leader="dot" w:pos="684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Special</w:t>
      </w:r>
      <w:r w:rsidR="006C3F81">
        <w:rPr>
          <w:lang w:bidi="ar-SA"/>
        </w:rPr>
        <w:t xml:space="preserve"> Inspections</w:t>
      </w:r>
    </w:p>
    <w:p w14:paraId="638F5E6E" w14:textId="77777777" w:rsidR="006C3F81" w:rsidRDefault="006C3F81" w:rsidP="00A110D3">
      <w:pPr>
        <w:tabs>
          <w:tab w:val="left" w:leader="dot" w:pos="7200"/>
        </w:tabs>
        <w:spacing w:before="100" w:beforeAutospacing="1" w:after="100" w:afterAutospacing="1" w:line="288" w:lineRule="auto"/>
        <w:ind w:firstLine="720"/>
        <w:contextualSpacing/>
        <w:rPr>
          <w:lang w:bidi="ar-SA"/>
        </w:rPr>
      </w:pPr>
      <w:r>
        <w:rPr>
          <w:lang w:bidi="ar-SA"/>
        </w:rPr>
        <w:t>Inspections outside of Normal Business Hours</w:t>
      </w:r>
      <w:r>
        <w:rPr>
          <w:lang w:bidi="ar-SA"/>
        </w:rPr>
        <w:tab/>
        <w:t>$315 per inspection</w:t>
      </w:r>
    </w:p>
    <w:p w14:paraId="0E269009" w14:textId="77777777" w:rsidR="006C3F81" w:rsidRDefault="006C3F81" w:rsidP="00A110D3">
      <w:pPr>
        <w:tabs>
          <w:tab w:val="left" w:leader="dot" w:pos="7200"/>
        </w:tabs>
        <w:spacing w:before="100" w:beforeAutospacing="1" w:after="100" w:afterAutospacing="1" w:line="288" w:lineRule="auto"/>
        <w:ind w:firstLine="720"/>
        <w:contextualSpacing/>
        <w:rPr>
          <w:lang w:bidi="ar-SA"/>
        </w:rPr>
      </w:pPr>
      <w:r>
        <w:rPr>
          <w:lang w:bidi="ar-SA"/>
        </w:rPr>
        <w:t xml:space="preserve">Additional/Required </w:t>
      </w:r>
      <w:r w:rsidR="00674325">
        <w:rPr>
          <w:lang w:bidi="ar-SA"/>
        </w:rPr>
        <w:t>Inspection</w:t>
      </w:r>
      <w:r>
        <w:rPr>
          <w:lang w:bidi="ar-SA"/>
        </w:rPr>
        <w:tab/>
        <w:t>$89 per inspection</w:t>
      </w:r>
    </w:p>
    <w:p w14:paraId="78705639" w14:textId="77777777" w:rsidR="00322673" w:rsidRDefault="00322673" w:rsidP="00322673">
      <w:pPr>
        <w:pStyle w:val="Heading2"/>
      </w:pPr>
      <w:r>
        <w:t xml:space="preserve">Construction Permits </w:t>
      </w:r>
      <w:r w:rsidRPr="00417EF6">
        <w:rPr>
          <w:sz w:val="28"/>
          <w:szCs w:val="28"/>
        </w:rPr>
        <w:t>(U# = Unique Number)</w:t>
      </w:r>
    </w:p>
    <w:p w14:paraId="08A8C850" w14:textId="527A3946" w:rsidR="00322673" w:rsidRDefault="00322673" w:rsidP="00A110D3">
      <w:pPr>
        <w:tabs>
          <w:tab w:val="left" w:leader="dot" w:pos="7200"/>
        </w:tabs>
        <w:spacing w:before="0" w:after="0" w:line="288" w:lineRule="auto"/>
      </w:pPr>
      <w:r>
        <w:t>Water Supply Well</w:t>
      </w:r>
      <w:r w:rsidR="00864F4B">
        <w:tab/>
      </w:r>
      <w:r>
        <w:t>$6</w:t>
      </w:r>
      <w:r w:rsidR="00735C5D">
        <w:t>5</w:t>
      </w:r>
      <w:r>
        <w:t>9.00</w:t>
      </w:r>
      <w:r w:rsidR="00B74933">
        <w:t>*</w:t>
      </w:r>
    </w:p>
    <w:p w14:paraId="4E19656D" w14:textId="7142054F" w:rsidR="00322673" w:rsidRDefault="00322673" w:rsidP="00A110D3">
      <w:pPr>
        <w:tabs>
          <w:tab w:val="left" w:leader="dot" w:pos="7200"/>
        </w:tabs>
        <w:spacing w:before="0" w:after="0" w:line="288" w:lineRule="auto"/>
      </w:pPr>
      <w:r>
        <w:t>Water Supply Well Reconstruction</w:t>
      </w:r>
      <w:r>
        <w:tab/>
        <w:t>$6</w:t>
      </w:r>
      <w:r w:rsidR="00735C5D">
        <w:t>5</w:t>
      </w:r>
      <w:r>
        <w:t>9.00</w:t>
      </w:r>
      <w:r w:rsidR="00B74933">
        <w:t>*</w:t>
      </w:r>
    </w:p>
    <w:p w14:paraId="3F54E190" w14:textId="77777777" w:rsidR="00322673" w:rsidRDefault="00322673" w:rsidP="00A110D3">
      <w:pPr>
        <w:tabs>
          <w:tab w:val="left" w:leader="dot" w:pos="7200"/>
        </w:tabs>
        <w:spacing w:before="0" w:after="0" w:line="288" w:lineRule="auto"/>
      </w:pPr>
      <w:r>
        <w:t xml:space="preserve">Dewatering Well </w:t>
      </w:r>
      <w:r w:rsidR="00864F4B">
        <w:tab/>
      </w:r>
      <w:r>
        <w:t>$439.00</w:t>
      </w:r>
      <w:r w:rsidR="00B74933">
        <w:t>*</w:t>
      </w:r>
    </w:p>
    <w:p w14:paraId="365E186C" w14:textId="616DF861" w:rsidR="00322673" w:rsidRDefault="00322673" w:rsidP="00A110D3">
      <w:pPr>
        <w:tabs>
          <w:tab w:val="left" w:leader="dot" w:pos="7200"/>
        </w:tabs>
        <w:spacing w:before="0" w:after="0" w:line="288" w:lineRule="auto"/>
      </w:pPr>
      <w:r>
        <w:t xml:space="preserve">Environmental Well &gt;72 hours (ex. </w:t>
      </w:r>
      <w:r w:rsidR="00D734F6">
        <w:t>M</w:t>
      </w:r>
      <w:r>
        <w:t>onitoring</w:t>
      </w:r>
      <w:r w:rsidR="00D734F6">
        <w:t>; Site fee over 5 permit</w:t>
      </w:r>
      <w:r>
        <w:t>)</w:t>
      </w:r>
      <w:r w:rsidR="0AAD9859">
        <w:t xml:space="preserve"> </w:t>
      </w:r>
      <w:r>
        <w:t>$439.00</w:t>
      </w:r>
      <w:r w:rsidR="00B74933">
        <w:t>*</w:t>
      </w:r>
    </w:p>
    <w:p w14:paraId="52DBA92C" w14:textId="77777777" w:rsidR="00322673" w:rsidRDefault="00322673" w:rsidP="00A110D3">
      <w:pPr>
        <w:tabs>
          <w:tab w:val="left" w:leader="dot" w:pos="7200"/>
        </w:tabs>
        <w:spacing w:before="0" w:after="0" w:line="288" w:lineRule="auto"/>
      </w:pPr>
      <w:r>
        <w:t>Environmental Well Reconstruction</w:t>
      </w:r>
      <w:r w:rsidR="00864F4B">
        <w:t xml:space="preserve"> </w:t>
      </w:r>
      <w:r w:rsidR="00864F4B">
        <w:tab/>
      </w:r>
      <w:r>
        <w:t>$250.00</w:t>
      </w:r>
      <w:r w:rsidR="00B74933">
        <w:t>*</w:t>
      </w:r>
    </w:p>
    <w:p w14:paraId="4FF5D0D4" w14:textId="77777777" w:rsidR="00322673" w:rsidRDefault="00322673" w:rsidP="00322673">
      <w:pPr>
        <w:pStyle w:val="Heading2"/>
      </w:pPr>
      <w:r>
        <w:t>Maintenance Permits</w:t>
      </w:r>
    </w:p>
    <w:p w14:paraId="245938AC" w14:textId="77777777" w:rsidR="00330B21" w:rsidRDefault="00322673" w:rsidP="00A110D3">
      <w:pPr>
        <w:tabs>
          <w:tab w:val="left" w:leader="dot" w:pos="7200"/>
        </w:tabs>
        <w:spacing w:before="0" w:after="0" w:line="288" w:lineRule="auto"/>
      </w:pPr>
      <w:r>
        <w:t xml:space="preserve">Water Supply Well </w:t>
      </w:r>
      <w:r w:rsidR="00330B21">
        <w:tab/>
        <w:t>$619.00</w:t>
      </w:r>
      <w:r w:rsidR="00B74933">
        <w:t>*</w:t>
      </w:r>
    </w:p>
    <w:p w14:paraId="0DDFE84B" w14:textId="77777777" w:rsidR="00322673" w:rsidRDefault="00322673" w:rsidP="00F05A5F">
      <w:pPr>
        <w:tabs>
          <w:tab w:val="left" w:leader="dot" w:pos="6840"/>
        </w:tabs>
        <w:spacing w:before="0" w:after="0" w:line="288" w:lineRule="auto"/>
        <w:ind w:left="270"/>
      </w:pPr>
      <w:r>
        <w:t>(a well not in use or should be sealed per Ordinance) (3-year)</w:t>
      </w:r>
    </w:p>
    <w:p w14:paraId="61DF3580" w14:textId="77777777" w:rsidR="00330B21" w:rsidRDefault="00322673" w:rsidP="00A110D3">
      <w:pPr>
        <w:tabs>
          <w:tab w:val="left" w:leader="dot" w:pos="7200"/>
        </w:tabs>
        <w:spacing w:before="0" w:after="0" w:line="288" w:lineRule="auto"/>
      </w:pPr>
      <w:r>
        <w:t>Water Supply Well Renewal Fee</w:t>
      </w:r>
      <w:r w:rsidR="00330B21">
        <w:t xml:space="preserve"> </w:t>
      </w:r>
      <w:r w:rsidR="00330B21">
        <w:tab/>
        <w:t xml:space="preserve">$175.00 </w:t>
      </w:r>
    </w:p>
    <w:p w14:paraId="4B144871" w14:textId="77777777" w:rsidR="00322673" w:rsidRDefault="00322673" w:rsidP="00F05A5F">
      <w:pPr>
        <w:tabs>
          <w:tab w:val="left" w:leader="dot" w:pos="6840"/>
        </w:tabs>
        <w:spacing w:before="0" w:after="0" w:line="288" w:lineRule="auto"/>
        <w:ind w:left="270"/>
      </w:pPr>
      <w:r>
        <w:t xml:space="preserve">(annual fee after </w:t>
      </w:r>
      <w:proofErr w:type="gramStart"/>
      <w:r>
        <w:t>initial</w:t>
      </w:r>
      <w:proofErr w:type="gramEnd"/>
      <w:r>
        <w:t xml:space="preserve"> 3 years)</w:t>
      </w:r>
    </w:p>
    <w:p w14:paraId="642BE1D4" w14:textId="77777777" w:rsidR="00330B21" w:rsidRDefault="00322673" w:rsidP="00A110D3">
      <w:pPr>
        <w:tabs>
          <w:tab w:val="left" w:leader="dot" w:pos="7200"/>
        </w:tabs>
        <w:spacing w:before="0" w:after="0" w:line="288" w:lineRule="auto"/>
      </w:pPr>
      <w:r>
        <w:t>Environmental Well</w:t>
      </w:r>
      <w:r w:rsidR="00330B21">
        <w:t xml:space="preserve"> </w:t>
      </w:r>
      <w:r w:rsidR="00330B21">
        <w:tab/>
        <w:t>$175.00</w:t>
      </w:r>
    </w:p>
    <w:p w14:paraId="02836680" w14:textId="77777777" w:rsidR="00322673" w:rsidRDefault="00322673" w:rsidP="00F05A5F">
      <w:pPr>
        <w:tabs>
          <w:tab w:val="left" w:leader="dot" w:pos="6840"/>
        </w:tabs>
        <w:spacing w:before="0" w:after="0" w:line="288" w:lineRule="auto"/>
        <w:ind w:left="270"/>
      </w:pPr>
      <w:r>
        <w:t>(annual fee after 14 months - ex. monitoring)</w:t>
      </w:r>
    </w:p>
    <w:p w14:paraId="05FFDFDF" w14:textId="77777777" w:rsidR="00330B21" w:rsidRDefault="00322673" w:rsidP="00A110D3">
      <w:pPr>
        <w:tabs>
          <w:tab w:val="left" w:leader="dot" w:pos="7200"/>
        </w:tabs>
        <w:spacing w:before="0" w:after="0" w:line="288" w:lineRule="auto"/>
      </w:pPr>
      <w:r>
        <w:t>Environmental Well</w:t>
      </w:r>
      <w:r w:rsidR="00330B21">
        <w:t xml:space="preserve"> </w:t>
      </w:r>
      <w:r w:rsidR="00330B21">
        <w:tab/>
        <w:t>$0.00</w:t>
      </w:r>
    </w:p>
    <w:p w14:paraId="443C174D" w14:textId="36C4794C" w:rsidR="00322673" w:rsidRDefault="00322673" w:rsidP="00330B21">
      <w:pPr>
        <w:spacing w:before="0" w:after="0" w:line="288" w:lineRule="auto"/>
        <w:ind w:left="270"/>
      </w:pPr>
      <w:r>
        <w:t>(for Government only</w:t>
      </w:r>
      <w:r w:rsidR="004479A7">
        <w:t xml:space="preserve"> </w:t>
      </w:r>
      <w:r>
        <w:t>-</w:t>
      </w:r>
      <w:r w:rsidR="004479A7">
        <w:t xml:space="preserve"> </w:t>
      </w:r>
      <w:r>
        <w:t>State, County &amp; City)</w:t>
      </w:r>
    </w:p>
    <w:p w14:paraId="5056B2AA" w14:textId="77777777" w:rsidR="00322673" w:rsidRDefault="00322673" w:rsidP="00322673">
      <w:pPr>
        <w:pStyle w:val="Heading2"/>
      </w:pPr>
      <w:r>
        <w:t xml:space="preserve">Sealing Permits </w:t>
      </w:r>
      <w:r w:rsidRPr="00417EF6">
        <w:rPr>
          <w:sz w:val="28"/>
          <w:szCs w:val="28"/>
        </w:rPr>
        <w:t>(H# = Sealing Number)</w:t>
      </w:r>
    </w:p>
    <w:p w14:paraId="2910FC2D" w14:textId="3D0D5AFA" w:rsidR="00322673" w:rsidRDefault="00322673" w:rsidP="00C10E0F">
      <w:pPr>
        <w:tabs>
          <w:tab w:val="left" w:leader="dot" w:pos="7200"/>
        </w:tabs>
        <w:spacing w:before="0" w:after="0" w:line="288" w:lineRule="auto"/>
      </w:pPr>
      <w:r>
        <w:t>Well Sealing - Water Supply Well</w:t>
      </w:r>
      <w:r w:rsidR="005308BC">
        <w:t>/Dewatering</w:t>
      </w:r>
      <w:r w:rsidR="00F536B7">
        <w:t xml:space="preserve"> </w:t>
      </w:r>
      <w:r w:rsidR="00267AA8">
        <w:tab/>
      </w:r>
      <w:r>
        <w:t>$</w:t>
      </w:r>
      <w:r w:rsidR="00B433F5">
        <w:t>319</w:t>
      </w:r>
      <w:r>
        <w:t>.00</w:t>
      </w:r>
      <w:r w:rsidR="00B74933">
        <w:t>*</w:t>
      </w:r>
    </w:p>
    <w:p w14:paraId="0BA70AB7" w14:textId="77777777" w:rsidR="00322673" w:rsidRDefault="00322673" w:rsidP="00C10E0F">
      <w:pPr>
        <w:tabs>
          <w:tab w:val="left" w:leader="dot" w:pos="7200"/>
        </w:tabs>
        <w:spacing w:before="0" w:after="0" w:line="288" w:lineRule="auto"/>
      </w:pPr>
      <w:r>
        <w:t xml:space="preserve">Environmental Well (existing) (Site </w:t>
      </w:r>
      <w:r w:rsidR="00B74933">
        <w:t xml:space="preserve">fee over 5 </w:t>
      </w:r>
      <w:proofErr w:type="gramStart"/>
      <w:r w:rsidR="00B74933">
        <w:t>pe</w:t>
      </w:r>
      <w:r w:rsidR="00267AA8">
        <w:t>r</w:t>
      </w:r>
      <w:r w:rsidR="00B74933">
        <w:t>mit</w:t>
      </w:r>
      <w:proofErr w:type="gramEnd"/>
      <w:r w:rsidR="00B74933">
        <w:t>/$</w:t>
      </w:r>
      <w:r>
        <w:t>875 max)</w:t>
      </w:r>
      <w:r w:rsidR="00B74933">
        <w:tab/>
      </w:r>
      <w:r>
        <w:t>$175.00</w:t>
      </w:r>
      <w:r w:rsidR="00B74933">
        <w:t>*</w:t>
      </w:r>
    </w:p>
    <w:p w14:paraId="5C12C3BC" w14:textId="77777777" w:rsidR="00322673" w:rsidRDefault="00322673" w:rsidP="00322673">
      <w:pPr>
        <w:pStyle w:val="Heading2"/>
      </w:pPr>
      <w:r>
        <w:t>Other Fees</w:t>
      </w:r>
    </w:p>
    <w:p w14:paraId="56EBEB99" w14:textId="77777777" w:rsidR="00322673" w:rsidRDefault="00322673" w:rsidP="00A110D3">
      <w:pPr>
        <w:tabs>
          <w:tab w:val="left" w:leader="dot" w:pos="7200"/>
        </w:tabs>
        <w:spacing w:before="0" w:after="0" w:line="288" w:lineRule="auto"/>
      </w:pPr>
      <w:r>
        <w:t>Variance Application</w:t>
      </w:r>
      <w:r w:rsidR="00F536B7">
        <w:t xml:space="preserve"> </w:t>
      </w:r>
      <w:r w:rsidR="00F536B7">
        <w:tab/>
      </w:r>
      <w:r>
        <w:t>$ 523.00</w:t>
      </w:r>
    </w:p>
    <w:p w14:paraId="33BA206E" w14:textId="77777777" w:rsidR="00322673" w:rsidRDefault="00322673" w:rsidP="00A110D3">
      <w:pPr>
        <w:tabs>
          <w:tab w:val="left" w:leader="dot" w:pos="7200"/>
        </w:tabs>
        <w:spacing w:before="0" w:after="0" w:line="288" w:lineRule="auto"/>
      </w:pPr>
      <w:r>
        <w:t>Demolition Permit</w:t>
      </w:r>
      <w:r w:rsidR="00F536B7">
        <w:tab/>
      </w:r>
      <w:r>
        <w:t>$ 186.00</w:t>
      </w:r>
    </w:p>
    <w:p w14:paraId="067AD942" w14:textId="77777777" w:rsidR="00322673" w:rsidRDefault="00322673" w:rsidP="00A110D3">
      <w:pPr>
        <w:tabs>
          <w:tab w:val="left" w:leader="dot" w:pos="7200"/>
        </w:tabs>
        <w:spacing w:before="0" w:after="0" w:line="288" w:lineRule="auto"/>
      </w:pPr>
      <w:r>
        <w:t>Reinspection/Special Inspection</w:t>
      </w:r>
      <w:r w:rsidR="00F536B7">
        <w:t xml:space="preserve"> </w:t>
      </w:r>
      <w:r w:rsidR="00F536B7">
        <w:tab/>
      </w:r>
      <w:r>
        <w:t>$ 125.00</w:t>
      </w:r>
    </w:p>
    <w:p w14:paraId="51FFD359" w14:textId="77777777" w:rsidR="00A05CA7" w:rsidRPr="00A05CA7" w:rsidRDefault="00A05CA7" w:rsidP="00A05CA7">
      <w:pPr>
        <w:pStyle w:val="Heading2"/>
      </w:pPr>
      <w:r>
        <w:t>*S</w:t>
      </w:r>
      <w:r w:rsidRPr="00A05CA7">
        <w:t xml:space="preserve">tate </w:t>
      </w:r>
      <w:r>
        <w:t>S</w:t>
      </w:r>
      <w:r w:rsidRPr="00A05CA7">
        <w:t>urcharges apply to permits</w:t>
      </w:r>
      <w:r>
        <w:t xml:space="preserve"> where noted</w:t>
      </w:r>
      <w:r w:rsidRPr="00A05CA7">
        <w:t>:</w:t>
      </w:r>
    </w:p>
    <w:p w14:paraId="5E5BEE8C" w14:textId="06A8BCFC" w:rsidR="00A05CA7" w:rsidRPr="00A05CA7" w:rsidRDefault="00A05CA7" w:rsidP="51FD99A2">
      <w:pPr>
        <w:tabs>
          <w:tab w:val="left" w:leader="dot" w:pos="7200"/>
        </w:tabs>
        <w:spacing w:before="100" w:beforeAutospacing="1" w:after="100" w:afterAutospacing="1" w:line="288" w:lineRule="auto"/>
        <w:ind w:left="360"/>
        <w:contextualSpacing/>
        <w:rPr>
          <w:lang w:bidi="ar-SA"/>
        </w:rPr>
      </w:pPr>
      <w:r w:rsidRPr="51FD99A2">
        <w:rPr>
          <w:lang w:bidi="ar-SA"/>
        </w:rPr>
        <w:t>Residential and Commercial building</w:t>
      </w:r>
      <w:r>
        <w:tab/>
      </w:r>
      <w:r w:rsidRPr="51FD99A2">
        <w:rPr>
          <w:lang w:bidi="ar-SA"/>
        </w:rPr>
        <w:t>0.0</w:t>
      </w:r>
      <w:r w:rsidR="782D4350" w:rsidRPr="51FD99A2">
        <w:rPr>
          <w:lang w:bidi="ar-SA"/>
        </w:rPr>
        <w:t>00</w:t>
      </w:r>
      <w:r w:rsidRPr="51FD99A2">
        <w:rPr>
          <w:lang w:bidi="ar-SA"/>
        </w:rPr>
        <w:t>5% of valuation</w:t>
      </w:r>
    </w:p>
    <w:p w14:paraId="07DB5C4F" w14:textId="693595B8" w:rsidR="00A05CA7" w:rsidRPr="00A05CA7" w:rsidRDefault="00A05CA7" w:rsidP="51FD99A2">
      <w:pPr>
        <w:tabs>
          <w:tab w:val="left" w:leader="dot" w:pos="7200"/>
        </w:tabs>
        <w:spacing w:before="100" w:beforeAutospacing="1" w:after="100" w:afterAutospacing="1" w:line="288" w:lineRule="auto"/>
        <w:ind w:left="360"/>
        <w:contextualSpacing/>
        <w:rPr>
          <w:lang w:bidi="ar-SA"/>
        </w:rPr>
      </w:pPr>
      <w:r w:rsidRPr="51FD99A2">
        <w:rPr>
          <w:lang w:bidi="ar-SA"/>
        </w:rPr>
        <w:t>Plumbing and Mechanical</w:t>
      </w:r>
      <w:r>
        <w:tab/>
      </w:r>
      <w:r w:rsidRPr="51FD99A2">
        <w:rPr>
          <w:lang w:bidi="ar-SA"/>
        </w:rPr>
        <w:t>0.0</w:t>
      </w:r>
      <w:r w:rsidR="5ED6B62D" w:rsidRPr="51FD99A2">
        <w:rPr>
          <w:lang w:bidi="ar-SA"/>
        </w:rPr>
        <w:t>00</w:t>
      </w:r>
      <w:r w:rsidRPr="51FD99A2">
        <w:rPr>
          <w:lang w:bidi="ar-SA"/>
        </w:rPr>
        <w:t>5% of valuation</w:t>
      </w:r>
    </w:p>
    <w:p w14:paraId="05710850" w14:textId="77777777" w:rsidR="00A05CA7" w:rsidRPr="00A05CA7" w:rsidRDefault="00A05CA7" w:rsidP="00A110D3">
      <w:pPr>
        <w:tabs>
          <w:tab w:val="left" w:leader="dot" w:pos="7200"/>
        </w:tabs>
        <w:spacing w:before="100" w:beforeAutospacing="1" w:after="100" w:afterAutospacing="1" w:line="288" w:lineRule="auto"/>
        <w:ind w:left="360"/>
        <w:contextualSpacing/>
        <w:rPr>
          <w:lang w:bidi="ar-SA"/>
        </w:rPr>
      </w:pPr>
      <w:r w:rsidRPr="00A05CA7">
        <w:rPr>
          <w:lang w:bidi="ar-SA"/>
        </w:rPr>
        <w:lastRenderedPageBreak/>
        <w:t>Manufactured home installation</w:t>
      </w:r>
      <w:r>
        <w:rPr>
          <w:lang w:bidi="ar-SA"/>
        </w:rPr>
        <w:tab/>
      </w:r>
      <w:r w:rsidRPr="00A05CA7">
        <w:rPr>
          <w:lang w:bidi="ar-SA"/>
        </w:rPr>
        <w:t>$1.00</w:t>
      </w:r>
    </w:p>
    <w:p w14:paraId="5C588EB9" w14:textId="690C3522" w:rsidR="00A05CA7" w:rsidRPr="00A05CA7" w:rsidRDefault="00A05CA7" w:rsidP="1E6CADD4">
      <w:pPr>
        <w:tabs>
          <w:tab w:val="left" w:leader="dot" w:pos="7200"/>
        </w:tabs>
        <w:spacing w:before="100" w:beforeAutospacing="1" w:after="100" w:afterAutospacing="1" w:line="288" w:lineRule="auto"/>
        <w:ind w:left="360"/>
        <w:contextualSpacing/>
        <w:rPr>
          <w:lang w:bidi="ar-SA"/>
        </w:rPr>
      </w:pPr>
      <w:r w:rsidRPr="1E6CADD4">
        <w:rPr>
          <w:lang w:bidi="ar-SA"/>
        </w:rPr>
        <w:t>Single water</w:t>
      </w:r>
      <w:r w:rsidR="000913D1" w:rsidRPr="1E6CADD4">
        <w:rPr>
          <w:lang w:bidi="ar-SA"/>
        </w:rPr>
        <w:t>/</w:t>
      </w:r>
      <w:r w:rsidR="00E855A6" w:rsidRPr="1E6CADD4">
        <w:rPr>
          <w:lang w:bidi="ar-SA"/>
        </w:rPr>
        <w:t>environmental</w:t>
      </w:r>
      <w:r w:rsidR="000913D1" w:rsidRPr="1E6CADD4">
        <w:rPr>
          <w:lang w:bidi="ar-SA"/>
        </w:rPr>
        <w:t>/dewatering</w:t>
      </w:r>
      <w:r w:rsidRPr="1E6CADD4">
        <w:rPr>
          <w:lang w:bidi="ar-SA"/>
        </w:rPr>
        <w:t xml:space="preserve"> well construction</w:t>
      </w:r>
      <w:r>
        <w:tab/>
      </w:r>
      <w:r w:rsidR="008444C2" w:rsidRPr="1E6CADD4">
        <w:rPr>
          <w:lang w:bidi="ar-SA"/>
        </w:rPr>
        <w:t xml:space="preserve">$40.00 </w:t>
      </w:r>
      <w:r w:rsidR="00070119" w:rsidRPr="1E6CADD4">
        <w:rPr>
          <w:lang w:bidi="ar-SA"/>
        </w:rPr>
        <w:t>(</w:t>
      </w:r>
      <w:proofErr w:type="gramStart"/>
      <w:r w:rsidR="00070119" w:rsidRPr="1E6CADD4">
        <w:rPr>
          <w:lang w:bidi="ar-SA"/>
        </w:rPr>
        <w:t>U#)</w:t>
      </w:r>
      <w:proofErr w:type="gramEnd"/>
    </w:p>
    <w:p w14:paraId="4C6828BF" w14:textId="76155729" w:rsidR="00A05CA7" w:rsidRDefault="00A05CA7" w:rsidP="00A110D3">
      <w:pPr>
        <w:tabs>
          <w:tab w:val="left" w:leader="dot" w:pos="7200"/>
        </w:tabs>
        <w:spacing w:before="100" w:beforeAutospacing="1" w:after="100" w:afterAutospacing="1" w:line="288" w:lineRule="auto"/>
        <w:ind w:left="360"/>
        <w:contextualSpacing/>
        <w:rPr>
          <w:lang w:bidi="ar-SA"/>
        </w:rPr>
      </w:pPr>
      <w:r w:rsidRPr="00A05CA7">
        <w:rPr>
          <w:lang w:bidi="ar-SA"/>
        </w:rPr>
        <w:t>Single water</w:t>
      </w:r>
      <w:r w:rsidR="000913D1">
        <w:rPr>
          <w:lang w:bidi="ar-SA"/>
        </w:rPr>
        <w:t>/</w:t>
      </w:r>
      <w:r w:rsidR="00E855A6">
        <w:rPr>
          <w:lang w:bidi="ar-SA"/>
        </w:rPr>
        <w:t>environmental</w:t>
      </w:r>
      <w:r w:rsidR="000913D1">
        <w:rPr>
          <w:lang w:bidi="ar-SA"/>
        </w:rPr>
        <w:t>/dewatering</w:t>
      </w:r>
      <w:r w:rsidRPr="00A05CA7">
        <w:rPr>
          <w:lang w:bidi="ar-SA"/>
        </w:rPr>
        <w:t xml:space="preserve"> well </w:t>
      </w:r>
      <w:proofErr w:type="gramStart"/>
      <w:r w:rsidRPr="00A05CA7">
        <w:rPr>
          <w:lang w:bidi="ar-SA"/>
        </w:rPr>
        <w:t>sealing</w:t>
      </w:r>
      <w:proofErr w:type="gramEnd"/>
      <w:r>
        <w:rPr>
          <w:lang w:bidi="ar-SA"/>
        </w:rPr>
        <w:tab/>
      </w:r>
      <w:r w:rsidR="008444C2">
        <w:rPr>
          <w:lang w:bidi="ar-SA"/>
        </w:rPr>
        <w:t xml:space="preserve">$15.00 </w:t>
      </w:r>
      <w:r w:rsidR="00070119">
        <w:rPr>
          <w:lang w:bidi="ar-SA"/>
        </w:rPr>
        <w:t>(</w:t>
      </w:r>
      <w:proofErr w:type="gramStart"/>
      <w:r w:rsidR="00070119">
        <w:rPr>
          <w:lang w:bidi="ar-SA"/>
        </w:rPr>
        <w:t>H#)</w:t>
      </w:r>
      <w:proofErr w:type="gramEnd"/>
    </w:p>
    <w:p w14:paraId="3D2626D0" w14:textId="65B7A332" w:rsidR="00330B21" w:rsidRDefault="00330B21" w:rsidP="1E6CADD4">
      <w:pPr>
        <w:spacing w:before="120" w:beforeAutospacing="1" w:after="0" w:afterAutospacing="1" w:line="288" w:lineRule="auto"/>
        <w:contextualSpacing/>
        <w:rPr>
          <w:lang w:bidi="ar-SA"/>
        </w:rPr>
      </w:pPr>
    </w:p>
    <w:p w14:paraId="5CC4FBBB" w14:textId="06737D1D" w:rsidR="00330B21" w:rsidRPr="00A05CA7" w:rsidRDefault="00330B21" w:rsidP="1E6CADD4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 w:rsidRPr="1E6CADD4">
        <w:rPr>
          <w:lang w:bidi="ar-SA"/>
        </w:rPr>
        <w:t>Well Fees effective J</w:t>
      </w:r>
      <w:r w:rsidR="00F14205" w:rsidRPr="1E6CADD4">
        <w:rPr>
          <w:lang w:bidi="ar-SA"/>
        </w:rPr>
        <w:t xml:space="preserve">uly 1, </w:t>
      </w:r>
      <w:r w:rsidR="040019D3" w:rsidRPr="1E6CADD4">
        <w:rPr>
          <w:lang w:bidi="ar-SA"/>
        </w:rPr>
        <w:t>2025,</w:t>
      </w:r>
      <w:r w:rsidRPr="1E6CADD4">
        <w:rPr>
          <w:lang w:bidi="ar-SA"/>
        </w:rPr>
        <w:t xml:space="preserve"> in accordance with Resolution #</w:t>
      </w:r>
      <w:r w:rsidR="00E17A5B" w:rsidRPr="1E6CADD4">
        <w:rPr>
          <w:lang w:bidi="ar-SA"/>
        </w:rPr>
        <w:t>25-</w:t>
      </w:r>
      <w:r w:rsidR="002A061F" w:rsidRPr="1E6CADD4">
        <w:rPr>
          <w:lang w:bidi="ar-SA"/>
        </w:rPr>
        <w:t>98</w:t>
      </w:r>
      <w:r w:rsidRPr="1E6CADD4">
        <w:rPr>
          <w:lang w:bidi="ar-SA"/>
        </w:rPr>
        <w:t>.</w:t>
      </w:r>
      <w:r w:rsidR="0003626E" w:rsidRPr="1E6CADD4">
        <w:rPr>
          <w:lang w:bidi="ar-SA"/>
        </w:rPr>
        <w:t xml:space="preserve"> In the event State Surcharges applied to permits </w:t>
      </w:r>
      <w:r w:rsidR="00954062" w:rsidRPr="1E6CADD4">
        <w:rPr>
          <w:lang w:bidi="ar-SA"/>
        </w:rPr>
        <w:t xml:space="preserve">are </w:t>
      </w:r>
      <w:r w:rsidR="00762E40" w:rsidRPr="1E6CADD4">
        <w:rPr>
          <w:lang w:bidi="ar-SA"/>
        </w:rPr>
        <w:t>change</w:t>
      </w:r>
      <w:r w:rsidR="00954062" w:rsidRPr="1E6CADD4">
        <w:rPr>
          <w:lang w:bidi="ar-SA"/>
        </w:rPr>
        <w:t>d</w:t>
      </w:r>
      <w:r w:rsidR="00762E40" w:rsidRPr="1E6CADD4">
        <w:rPr>
          <w:lang w:bidi="ar-SA"/>
        </w:rPr>
        <w:t xml:space="preserve"> by the State of Minnesota after July 15, 2025, the County hereby adopts those fee changes </w:t>
      </w:r>
      <w:r w:rsidR="00A416E6" w:rsidRPr="1E6CADD4">
        <w:rPr>
          <w:lang w:bidi="ar-SA"/>
        </w:rPr>
        <w:t xml:space="preserve">per </w:t>
      </w:r>
      <w:r w:rsidR="00032EF7" w:rsidRPr="1E6CADD4">
        <w:rPr>
          <w:lang w:bidi="ar-SA"/>
        </w:rPr>
        <w:t xml:space="preserve">the </w:t>
      </w:r>
      <w:r w:rsidR="00762E40" w:rsidRPr="1E6CADD4">
        <w:rPr>
          <w:lang w:bidi="ar-SA"/>
        </w:rPr>
        <w:t xml:space="preserve">effective </w:t>
      </w:r>
      <w:r w:rsidR="00954062" w:rsidRPr="1E6CADD4">
        <w:rPr>
          <w:lang w:bidi="ar-SA"/>
        </w:rPr>
        <w:t xml:space="preserve">date established by the State of Minnesota. </w:t>
      </w:r>
      <w:r w:rsidR="00762E40" w:rsidRPr="1E6CADD4">
        <w:rPr>
          <w:lang w:bidi="ar-SA"/>
        </w:rPr>
        <w:t xml:space="preserve"> </w:t>
      </w:r>
    </w:p>
    <w:p w14:paraId="0BFA2807" w14:textId="77777777" w:rsidR="000E0B5D" w:rsidRDefault="00BA329F" w:rsidP="000E0B5D">
      <w:pPr>
        <w:pStyle w:val="Heading2"/>
      </w:pPr>
      <w:r>
        <w:t>Demolition</w:t>
      </w:r>
      <w:r w:rsidR="000E0B5D">
        <w:t xml:space="preserve"> Permit</w:t>
      </w:r>
    </w:p>
    <w:p w14:paraId="16DE4806" w14:textId="77777777" w:rsidR="000E0B5D" w:rsidRDefault="000E0B5D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Review and Inspection</w:t>
      </w:r>
      <w:r>
        <w:rPr>
          <w:lang w:bidi="ar-SA"/>
        </w:rPr>
        <w:tab/>
        <w:t>$186 per application</w:t>
      </w:r>
    </w:p>
    <w:p w14:paraId="687DB97C" w14:textId="77777777" w:rsidR="000E0B5D" w:rsidRDefault="000E0B5D" w:rsidP="00D815B3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</w:p>
    <w:p w14:paraId="3A41C9CD" w14:textId="77777777" w:rsidR="00BA329F" w:rsidRDefault="00BA329F" w:rsidP="00D815B3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 xml:space="preserve">*Governmental Owed Wells are exempt from these well fees. Minnesota Department of </w:t>
      </w:r>
      <w:r w:rsidR="00B8468C">
        <w:rPr>
          <w:lang w:bidi="ar-SA"/>
        </w:rPr>
        <w:t>H</w:t>
      </w:r>
      <w:r>
        <w:rPr>
          <w:lang w:bidi="ar-SA"/>
        </w:rPr>
        <w:t>ealth Fees are NOT included in the above County Fees.</w:t>
      </w:r>
      <w:r w:rsidR="00B8468C">
        <w:rPr>
          <w:lang w:bidi="ar-SA"/>
        </w:rPr>
        <w:t xml:space="preserve"> Surcharge still applies.</w:t>
      </w:r>
    </w:p>
    <w:p w14:paraId="08E78BB4" w14:textId="77777777" w:rsidR="00F121D0" w:rsidRDefault="00F121D0" w:rsidP="00F121D0">
      <w:pPr>
        <w:pStyle w:val="Heading2"/>
      </w:pPr>
      <w:r>
        <w:t>Subsurface Sewage Treatment Program (SSTS)</w:t>
      </w:r>
    </w:p>
    <w:p w14:paraId="35E71DC8" w14:textId="77777777" w:rsidR="008A361E" w:rsidRDefault="008A361E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proofErr w:type="spellStart"/>
      <w:r>
        <w:rPr>
          <w:lang w:bidi="ar-SA"/>
        </w:rPr>
        <w:t>Drainfield</w:t>
      </w:r>
      <w:proofErr w:type="spellEnd"/>
      <w:r>
        <w:rPr>
          <w:lang w:bidi="ar-SA"/>
        </w:rPr>
        <w:t xml:space="preserve"> Replacement</w:t>
      </w:r>
      <w:r>
        <w:rPr>
          <w:lang w:bidi="ar-SA"/>
        </w:rPr>
        <w:tab/>
        <w:t>$495 per application</w:t>
      </w:r>
    </w:p>
    <w:p w14:paraId="7E6E4DA1" w14:textId="77777777" w:rsidR="00BA329F" w:rsidRDefault="00F121D0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Investigation and Notice of Improper Disposal</w:t>
      </w:r>
      <w:r>
        <w:rPr>
          <w:lang w:bidi="ar-SA"/>
        </w:rPr>
        <w:tab/>
        <w:t>$67/Hour/Person</w:t>
      </w:r>
    </w:p>
    <w:p w14:paraId="68A520BB" w14:textId="77777777" w:rsidR="008A361E" w:rsidRDefault="008A361E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Operating Permit – Private System</w:t>
      </w:r>
      <w:r>
        <w:rPr>
          <w:lang w:bidi="ar-SA"/>
        </w:rPr>
        <w:tab/>
        <w:t>$85 per year (annual permit)</w:t>
      </w:r>
    </w:p>
    <w:p w14:paraId="21E5A0E5" w14:textId="77777777" w:rsidR="008A361E" w:rsidRDefault="008A361E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Operating Permit – Cluster System</w:t>
      </w:r>
      <w:r>
        <w:rPr>
          <w:lang w:bidi="ar-SA"/>
        </w:rPr>
        <w:tab/>
        <w:t>$255 every 3 years</w:t>
      </w:r>
    </w:p>
    <w:p w14:paraId="015A2772" w14:textId="77777777" w:rsidR="00F121D0" w:rsidRDefault="00F121D0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 xml:space="preserve">SSTS Permit </w:t>
      </w:r>
    </w:p>
    <w:p w14:paraId="7AA7E101" w14:textId="77777777" w:rsidR="00F121D0" w:rsidRDefault="00F121D0" w:rsidP="00A110D3">
      <w:pPr>
        <w:tabs>
          <w:tab w:val="left" w:leader="dot" w:pos="7200"/>
        </w:tabs>
        <w:spacing w:before="100" w:beforeAutospacing="1" w:after="100" w:afterAutospacing="1" w:line="288" w:lineRule="auto"/>
        <w:ind w:left="450"/>
        <w:contextualSpacing/>
        <w:rPr>
          <w:lang w:bidi="ar-SA"/>
        </w:rPr>
      </w:pPr>
      <w:r>
        <w:rPr>
          <w:lang w:bidi="ar-SA"/>
        </w:rPr>
        <w:t>Up to 1</w:t>
      </w:r>
      <w:r w:rsidR="008A361E">
        <w:rPr>
          <w:lang w:bidi="ar-SA"/>
        </w:rPr>
        <w:t>,</w:t>
      </w:r>
      <w:r>
        <w:rPr>
          <w:lang w:bidi="ar-SA"/>
        </w:rPr>
        <w:t>00</w:t>
      </w:r>
      <w:r w:rsidR="008A361E">
        <w:rPr>
          <w:lang w:bidi="ar-SA"/>
        </w:rPr>
        <w:t>0</w:t>
      </w:r>
      <w:r>
        <w:rPr>
          <w:lang w:bidi="ar-SA"/>
        </w:rPr>
        <w:t xml:space="preserve"> gpd</w:t>
      </w:r>
      <w:r>
        <w:rPr>
          <w:lang w:bidi="ar-SA"/>
        </w:rPr>
        <w:tab/>
        <w:t>$495 per application</w:t>
      </w:r>
    </w:p>
    <w:p w14:paraId="156FE418" w14:textId="77777777" w:rsidR="00F121D0" w:rsidRDefault="00F121D0" w:rsidP="00A110D3">
      <w:pPr>
        <w:tabs>
          <w:tab w:val="left" w:leader="dot" w:pos="7200"/>
        </w:tabs>
        <w:spacing w:before="100" w:beforeAutospacing="1" w:after="100" w:afterAutospacing="1" w:line="288" w:lineRule="auto"/>
        <w:ind w:left="450"/>
        <w:contextualSpacing/>
        <w:rPr>
          <w:lang w:bidi="ar-SA"/>
        </w:rPr>
      </w:pPr>
      <w:r>
        <w:rPr>
          <w:lang w:bidi="ar-SA"/>
        </w:rPr>
        <w:t>1</w:t>
      </w:r>
      <w:r w:rsidR="008A361E">
        <w:rPr>
          <w:lang w:bidi="ar-SA"/>
        </w:rPr>
        <w:t>,</w:t>
      </w:r>
      <w:r>
        <w:rPr>
          <w:lang w:bidi="ar-SA"/>
        </w:rPr>
        <w:t>001 gpd to 5</w:t>
      </w:r>
      <w:r w:rsidR="008A361E">
        <w:rPr>
          <w:lang w:bidi="ar-SA"/>
        </w:rPr>
        <w:t>,</w:t>
      </w:r>
      <w:r>
        <w:rPr>
          <w:lang w:bidi="ar-SA"/>
        </w:rPr>
        <w:t>000 gpd</w:t>
      </w:r>
      <w:r>
        <w:rPr>
          <w:lang w:bidi="ar-SA"/>
        </w:rPr>
        <w:tab/>
        <w:t>$1495 per application</w:t>
      </w:r>
    </w:p>
    <w:p w14:paraId="008E2DFC" w14:textId="77777777" w:rsidR="00F121D0" w:rsidRDefault="00F121D0" w:rsidP="00A110D3">
      <w:pPr>
        <w:tabs>
          <w:tab w:val="left" w:leader="dot" w:pos="7200"/>
        </w:tabs>
        <w:spacing w:before="100" w:beforeAutospacing="1" w:after="100" w:afterAutospacing="1" w:line="288" w:lineRule="auto"/>
        <w:ind w:left="450"/>
        <w:contextualSpacing/>
        <w:rPr>
          <w:lang w:bidi="ar-SA"/>
        </w:rPr>
      </w:pPr>
      <w:r>
        <w:rPr>
          <w:lang w:bidi="ar-SA"/>
        </w:rPr>
        <w:t>5</w:t>
      </w:r>
      <w:r w:rsidR="008A361E">
        <w:rPr>
          <w:lang w:bidi="ar-SA"/>
        </w:rPr>
        <w:t>,</w:t>
      </w:r>
      <w:r>
        <w:rPr>
          <w:lang w:bidi="ar-SA"/>
        </w:rPr>
        <w:t>001 gpd to 10,000 gpd</w:t>
      </w:r>
      <w:r>
        <w:rPr>
          <w:lang w:bidi="ar-SA"/>
        </w:rPr>
        <w:tab/>
        <w:t>$1969 per application</w:t>
      </w:r>
    </w:p>
    <w:p w14:paraId="6986D80A" w14:textId="025A5D57" w:rsidR="00F121D0" w:rsidRDefault="00F121D0" w:rsidP="1E6CADD4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 w:rsidRPr="1E6CADD4">
        <w:rPr>
          <w:lang w:bidi="ar-SA"/>
        </w:rPr>
        <w:t>Sewer Line</w:t>
      </w:r>
      <w:r>
        <w:tab/>
      </w:r>
      <w:r w:rsidRPr="1E6CADD4">
        <w:rPr>
          <w:lang w:bidi="ar-SA"/>
        </w:rPr>
        <w:t>$315 per application</w:t>
      </w:r>
    </w:p>
    <w:p w14:paraId="751ADA03" w14:textId="77777777" w:rsidR="00F121D0" w:rsidRDefault="00F121D0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 xml:space="preserve">Tank Permits and Alterations to Complying </w:t>
      </w:r>
      <w:proofErr w:type="spellStart"/>
      <w:r>
        <w:rPr>
          <w:lang w:bidi="ar-SA"/>
        </w:rPr>
        <w:t>Drainfields</w:t>
      </w:r>
      <w:proofErr w:type="spellEnd"/>
      <w:r>
        <w:rPr>
          <w:lang w:bidi="ar-SA"/>
        </w:rPr>
        <w:tab/>
        <w:t>$371 per application</w:t>
      </w:r>
    </w:p>
    <w:p w14:paraId="222A9D5A" w14:textId="77777777" w:rsidR="00F121D0" w:rsidRDefault="00F121D0" w:rsidP="00F121D0">
      <w:pPr>
        <w:pStyle w:val="Heading2"/>
      </w:pPr>
      <w:r>
        <w:t>Exceptions</w:t>
      </w:r>
    </w:p>
    <w:p w14:paraId="57E34DB3" w14:textId="77777777" w:rsidR="00F121D0" w:rsidRDefault="00F121D0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Environmental Commission</w:t>
      </w:r>
      <w:r>
        <w:rPr>
          <w:lang w:bidi="ar-SA"/>
        </w:rPr>
        <w:tab/>
        <w:t>$523 per application</w:t>
      </w:r>
    </w:p>
    <w:p w14:paraId="4628BB39" w14:textId="77777777" w:rsidR="00F121D0" w:rsidRDefault="00F121D0" w:rsidP="00A110D3">
      <w:pPr>
        <w:tabs>
          <w:tab w:val="left" w:leader="dot" w:pos="720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Staff Authorized</w:t>
      </w:r>
      <w:r>
        <w:rPr>
          <w:lang w:bidi="ar-SA"/>
        </w:rPr>
        <w:tab/>
        <w:t>$225 per application</w:t>
      </w:r>
    </w:p>
    <w:p w14:paraId="23A34277" w14:textId="77777777" w:rsidR="00F121D0" w:rsidRDefault="00C13D97" w:rsidP="00C13D97">
      <w:pPr>
        <w:pStyle w:val="Heading2"/>
      </w:pPr>
      <w:r>
        <w:t>Plats</w:t>
      </w:r>
    </w:p>
    <w:p w14:paraId="49399104" w14:textId="77777777" w:rsidR="00C13D97" w:rsidRDefault="00C13D97" w:rsidP="00F121D0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Subdivision requiring review of both SSTS and Private Wells</w:t>
      </w:r>
    </w:p>
    <w:p w14:paraId="407D32BA" w14:textId="77777777" w:rsidR="00C13D97" w:rsidRDefault="00C13D97" w:rsidP="00C13D97">
      <w:pPr>
        <w:tabs>
          <w:tab w:val="left" w:leader="dot" w:pos="6480"/>
        </w:tabs>
        <w:spacing w:before="100" w:beforeAutospacing="1" w:after="100" w:afterAutospacing="1" w:line="288" w:lineRule="auto"/>
        <w:ind w:left="450"/>
        <w:contextualSpacing/>
        <w:rPr>
          <w:lang w:bidi="ar-SA"/>
        </w:rPr>
      </w:pPr>
      <w:r>
        <w:rPr>
          <w:lang w:bidi="ar-SA"/>
        </w:rPr>
        <w:t>Base Fee</w:t>
      </w:r>
      <w:r>
        <w:rPr>
          <w:lang w:bidi="ar-SA"/>
        </w:rPr>
        <w:tab/>
        <w:t xml:space="preserve">$1304 per </w:t>
      </w:r>
      <w:proofErr w:type="gramStart"/>
      <w:r>
        <w:rPr>
          <w:lang w:bidi="ar-SA"/>
        </w:rPr>
        <w:t>plat</w:t>
      </w:r>
      <w:proofErr w:type="gramEnd"/>
    </w:p>
    <w:p w14:paraId="1E0FCF1B" w14:textId="77777777" w:rsidR="00C13D97" w:rsidRDefault="00C13D97" w:rsidP="00C13D97">
      <w:pPr>
        <w:tabs>
          <w:tab w:val="left" w:leader="dot" w:pos="6480"/>
        </w:tabs>
        <w:spacing w:before="100" w:beforeAutospacing="1" w:after="100" w:afterAutospacing="1" w:line="288" w:lineRule="auto"/>
        <w:ind w:left="450"/>
        <w:contextualSpacing/>
        <w:rPr>
          <w:lang w:bidi="ar-SA"/>
        </w:rPr>
      </w:pPr>
      <w:r>
        <w:rPr>
          <w:lang w:bidi="ar-SA"/>
        </w:rPr>
        <w:lastRenderedPageBreak/>
        <w:t>Add for Each Lot</w:t>
      </w:r>
      <w:r>
        <w:rPr>
          <w:lang w:bidi="ar-SA"/>
        </w:rPr>
        <w:tab/>
        <w:t>$360 per lot</w:t>
      </w:r>
    </w:p>
    <w:p w14:paraId="5F8907DD" w14:textId="77777777" w:rsidR="00C13D97" w:rsidRDefault="00C13D97" w:rsidP="00C13D97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Subdivision requiring review of only private wells</w:t>
      </w:r>
    </w:p>
    <w:p w14:paraId="26FF86F3" w14:textId="77777777" w:rsidR="00C13D97" w:rsidRDefault="00C13D97" w:rsidP="00C13D97">
      <w:pPr>
        <w:tabs>
          <w:tab w:val="left" w:leader="dot" w:pos="6480"/>
        </w:tabs>
        <w:spacing w:before="100" w:beforeAutospacing="1" w:after="100" w:afterAutospacing="1" w:line="288" w:lineRule="auto"/>
        <w:ind w:left="450"/>
        <w:contextualSpacing/>
        <w:rPr>
          <w:lang w:bidi="ar-SA"/>
        </w:rPr>
      </w:pPr>
      <w:r>
        <w:rPr>
          <w:lang w:bidi="ar-SA"/>
        </w:rPr>
        <w:t>Base Fee</w:t>
      </w:r>
      <w:r>
        <w:rPr>
          <w:lang w:bidi="ar-SA"/>
        </w:rPr>
        <w:tab/>
        <w:t xml:space="preserve">$1304 per </w:t>
      </w:r>
      <w:proofErr w:type="gramStart"/>
      <w:r>
        <w:rPr>
          <w:lang w:bidi="ar-SA"/>
        </w:rPr>
        <w:t>plat</w:t>
      </w:r>
      <w:proofErr w:type="gramEnd"/>
    </w:p>
    <w:p w14:paraId="33E8CDB4" w14:textId="77777777" w:rsidR="00C13D97" w:rsidRDefault="00C13D97" w:rsidP="00C13D97">
      <w:pPr>
        <w:tabs>
          <w:tab w:val="left" w:leader="dot" w:pos="6480"/>
        </w:tabs>
        <w:spacing w:before="100" w:beforeAutospacing="1" w:after="100" w:afterAutospacing="1" w:line="288" w:lineRule="auto"/>
        <w:ind w:left="450"/>
        <w:contextualSpacing/>
        <w:rPr>
          <w:lang w:bidi="ar-SA"/>
        </w:rPr>
      </w:pPr>
      <w:r>
        <w:rPr>
          <w:lang w:bidi="ar-SA"/>
        </w:rPr>
        <w:t>Add for Each Lot</w:t>
      </w:r>
      <w:r>
        <w:rPr>
          <w:lang w:bidi="ar-SA"/>
        </w:rPr>
        <w:tab/>
        <w:t>$120 per lot</w:t>
      </w:r>
    </w:p>
    <w:p w14:paraId="0528396D" w14:textId="77777777" w:rsidR="006A33EC" w:rsidRDefault="006A33EC" w:rsidP="006A33EC">
      <w:pPr>
        <w:pStyle w:val="Heading2"/>
      </w:pPr>
      <w:r>
        <w:t>Other</w:t>
      </w:r>
    </w:p>
    <w:p w14:paraId="732FC590" w14:textId="77777777" w:rsidR="006A33EC" w:rsidRDefault="00E34055" w:rsidP="006A33EC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Document Research</w:t>
      </w:r>
      <w:r>
        <w:rPr>
          <w:lang w:bidi="ar-SA"/>
        </w:rPr>
        <w:tab/>
        <w:t>$20 per property</w:t>
      </w:r>
    </w:p>
    <w:p w14:paraId="0ABB23A5" w14:textId="77777777" w:rsidR="00E34055" w:rsidRDefault="00E34055" w:rsidP="006A33EC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Environmental Review Fee for applications including:</w:t>
      </w:r>
    </w:p>
    <w:p w14:paraId="48532E02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720"/>
        <w:contextualSpacing/>
        <w:rPr>
          <w:lang w:bidi="ar-SA"/>
        </w:rPr>
      </w:pPr>
      <w:r>
        <w:rPr>
          <w:lang w:bidi="ar-SA"/>
        </w:rPr>
        <w:t>Zoning/Building permit</w:t>
      </w:r>
      <w:r>
        <w:rPr>
          <w:lang w:bidi="ar-SA"/>
        </w:rPr>
        <w:tab/>
        <w:t>$86 per application</w:t>
      </w:r>
    </w:p>
    <w:p w14:paraId="3A18DDFD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720"/>
        <w:contextualSpacing/>
        <w:rPr>
          <w:lang w:bidi="ar-SA"/>
        </w:rPr>
      </w:pPr>
      <w:proofErr w:type="gramStart"/>
      <w:r>
        <w:rPr>
          <w:lang w:bidi="ar-SA"/>
        </w:rPr>
        <w:t>Metes</w:t>
      </w:r>
      <w:proofErr w:type="gramEnd"/>
      <w:r>
        <w:rPr>
          <w:lang w:bidi="ar-SA"/>
        </w:rPr>
        <w:t xml:space="preserve"> &amp; Bounds application</w:t>
      </w:r>
      <w:r>
        <w:rPr>
          <w:lang w:bidi="ar-SA"/>
        </w:rPr>
        <w:tab/>
        <w:t>$86 per application</w:t>
      </w:r>
    </w:p>
    <w:p w14:paraId="670915E3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720"/>
        <w:contextualSpacing/>
        <w:rPr>
          <w:lang w:bidi="ar-SA"/>
        </w:rPr>
      </w:pPr>
      <w:r>
        <w:rPr>
          <w:lang w:bidi="ar-SA"/>
        </w:rPr>
        <w:t>Conditional Use Permit</w:t>
      </w:r>
      <w:r>
        <w:rPr>
          <w:lang w:bidi="ar-SA"/>
        </w:rPr>
        <w:tab/>
        <w:t>$86 per application</w:t>
      </w:r>
    </w:p>
    <w:p w14:paraId="6299A3A4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720"/>
        <w:contextualSpacing/>
        <w:rPr>
          <w:lang w:bidi="ar-SA"/>
        </w:rPr>
      </w:pPr>
      <w:r>
        <w:rPr>
          <w:lang w:bidi="ar-SA"/>
        </w:rPr>
        <w:t>Zoning Variance</w:t>
      </w:r>
      <w:r>
        <w:rPr>
          <w:lang w:bidi="ar-SA"/>
        </w:rPr>
        <w:tab/>
        <w:t>$86 per application</w:t>
      </w:r>
    </w:p>
    <w:p w14:paraId="3B27C649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ind w:right="2700"/>
        <w:contextualSpacing/>
        <w:rPr>
          <w:lang w:bidi="ar-SA"/>
        </w:rPr>
      </w:pPr>
      <w:r>
        <w:rPr>
          <w:lang w:bidi="ar-SA"/>
        </w:rPr>
        <w:t>Environmental Review Fee for Environmental Assessment Worksheet or Impact statement</w:t>
      </w:r>
    </w:p>
    <w:p w14:paraId="7FEEB416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810"/>
        <w:contextualSpacing/>
        <w:rPr>
          <w:lang w:bidi="ar-SA"/>
        </w:rPr>
      </w:pPr>
      <w:r>
        <w:rPr>
          <w:lang w:bidi="ar-SA"/>
        </w:rPr>
        <w:t xml:space="preserve">Base Fee </w:t>
      </w:r>
      <w:proofErr w:type="gramStart"/>
      <w:r>
        <w:rPr>
          <w:lang w:bidi="ar-SA"/>
        </w:rPr>
        <w:t>include</w:t>
      </w:r>
      <w:proofErr w:type="gramEnd"/>
      <w:r>
        <w:rPr>
          <w:lang w:bidi="ar-SA"/>
        </w:rPr>
        <w:t xml:space="preserve"> 1 hour</w:t>
      </w:r>
      <w:r>
        <w:rPr>
          <w:lang w:bidi="ar-SA"/>
        </w:rPr>
        <w:tab/>
        <w:t>$84 per application</w:t>
      </w:r>
    </w:p>
    <w:p w14:paraId="037F9A78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810"/>
        <w:contextualSpacing/>
        <w:rPr>
          <w:lang w:bidi="ar-SA"/>
        </w:rPr>
      </w:pPr>
      <w:r>
        <w:rPr>
          <w:lang w:bidi="ar-SA"/>
        </w:rPr>
        <w:t>Additional Time</w:t>
      </w:r>
      <w:r>
        <w:rPr>
          <w:lang w:bidi="ar-SA"/>
        </w:rPr>
        <w:tab/>
        <w:t>$67/hour/person</w:t>
      </w:r>
    </w:p>
    <w:p w14:paraId="5155A56A" w14:textId="77777777" w:rsidR="00F121D0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Failure to be ready for Scheduled Inspection</w:t>
      </w:r>
      <w:r>
        <w:rPr>
          <w:lang w:bidi="ar-SA"/>
        </w:rPr>
        <w:tab/>
        <w:t>$89 per inspection</w:t>
      </w:r>
    </w:p>
    <w:p w14:paraId="5DB7B9B5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 xml:space="preserve">Inspection request for </w:t>
      </w:r>
      <w:r w:rsidR="00675CC5">
        <w:rPr>
          <w:lang w:bidi="ar-SA"/>
        </w:rPr>
        <w:t>less</w:t>
      </w:r>
      <w:r>
        <w:rPr>
          <w:lang w:bidi="ar-SA"/>
        </w:rPr>
        <w:t xml:space="preserve"> than 24-hour notice</w:t>
      </w:r>
      <w:r>
        <w:rPr>
          <w:lang w:bidi="ar-SA"/>
        </w:rPr>
        <w:tab/>
        <w:t>$89 per inspection</w:t>
      </w:r>
    </w:p>
    <w:p w14:paraId="6C5C4BAA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contextualSpacing/>
        <w:rPr>
          <w:lang w:bidi="ar-SA"/>
        </w:rPr>
      </w:pPr>
      <w:r>
        <w:rPr>
          <w:lang w:bidi="ar-SA"/>
        </w:rPr>
        <w:t>Special Inspections</w:t>
      </w:r>
    </w:p>
    <w:p w14:paraId="2BCF9CB7" w14:textId="77777777" w:rsidR="00E34055" w:rsidRDefault="00E34055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900"/>
        <w:contextualSpacing/>
        <w:rPr>
          <w:lang w:bidi="ar-SA"/>
        </w:rPr>
      </w:pPr>
      <w:r>
        <w:rPr>
          <w:lang w:bidi="ar-SA"/>
        </w:rPr>
        <w:t>Inspections outside of normal business hours</w:t>
      </w:r>
      <w:r>
        <w:rPr>
          <w:lang w:bidi="ar-SA"/>
        </w:rPr>
        <w:tab/>
        <w:t>$315 per inspection</w:t>
      </w:r>
    </w:p>
    <w:p w14:paraId="56BBD7F2" w14:textId="77777777" w:rsidR="00E34055" w:rsidRDefault="00675CC5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900"/>
        <w:contextualSpacing/>
        <w:rPr>
          <w:lang w:bidi="ar-SA"/>
        </w:rPr>
      </w:pPr>
      <w:r>
        <w:rPr>
          <w:lang w:bidi="ar-SA"/>
        </w:rPr>
        <w:t>Additional</w:t>
      </w:r>
      <w:r w:rsidR="00E34055">
        <w:rPr>
          <w:lang w:bidi="ar-SA"/>
        </w:rPr>
        <w:t>/Required Inspections</w:t>
      </w:r>
      <w:r w:rsidR="00E34055">
        <w:rPr>
          <w:lang w:bidi="ar-SA"/>
        </w:rPr>
        <w:tab/>
        <w:t>$89 per inspection</w:t>
      </w:r>
    </w:p>
    <w:p w14:paraId="7F5832FB" w14:textId="77777777" w:rsidR="00A62B00" w:rsidRPr="00A72A62" w:rsidRDefault="00A62B00" w:rsidP="00E34055">
      <w:pPr>
        <w:tabs>
          <w:tab w:val="left" w:leader="dot" w:pos="6480"/>
        </w:tabs>
        <w:spacing w:before="100" w:beforeAutospacing="1" w:after="100" w:afterAutospacing="1" w:line="288" w:lineRule="auto"/>
        <w:ind w:left="900"/>
        <w:contextualSpacing/>
        <w:rPr>
          <w:lang w:bidi="ar-SA"/>
        </w:rPr>
      </w:pPr>
      <w:bookmarkStart w:id="0" w:name="_Hlk22824893"/>
    </w:p>
    <w:bookmarkEnd w:id="0"/>
    <w:sectPr w:rsidR="00A62B00" w:rsidRPr="00A72A62" w:rsidSect="00A110D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810" w:bottom="1080" w:left="1080" w:header="432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166C" w14:textId="77777777" w:rsidR="00B95B88" w:rsidRDefault="00B95B88" w:rsidP="003356A9">
      <w:r>
        <w:separator/>
      </w:r>
    </w:p>
  </w:endnote>
  <w:endnote w:type="continuationSeparator" w:id="0">
    <w:p w14:paraId="66F5FC22" w14:textId="77777777" w:rsidR="00B95B88" w:rsidRDefault="00B95B88" w:rsidP="003356A9">
      <w:r>
        <w:continuationSeparator/>
      </w:r>
    </w:p>
  </w:endnote>
  <w:endnote w:type="continuationNotice" w:id="1">
    <w:p w14:paraId="65A5795E" w14:textId="77777777" w:rsidR="00B95B88" w:rsidRDefault="00B95B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D5FA" w14:textId="77777777" w:rsidR="00B031DE" w:rsidRPr="005005CB" w:rsidRDefault="00B031DE" w:rsidP="00B031DE">
    <w:pPr>
      <w:pBdr>
        <w:top w:val="single" w:sz="4" w:space="1" w:color="auto"/>
      </w:pBdr>
      <w:tabs>
        <w:tab w:val="left" w:pos="2160"/>
      </w:tabs>
      <w:spacing w:line="240" w:lineRule="auto"/>
      <w:rPr>
        <w:sz w:val="6"/>
        <w:szCs w:val="6"/>
      </w:rPr>
    </w:pPr>
  </w:p>
  <w:p w14:paraId="1681BEC6" w14:textId="77777777" w:rsidR="000B78DF" w:rsidRPr="00F63ABC" w:rsidRDefault="000B78DF" w:rsidP="00B031DE">
    <w:pPr>
      <w:tabs>
        <w:tab w:val="left" w:pos="3690"/>
        <w:tab w:val="left" w:pos="3780"/>
      </w:tabs>
      <w:spacing w:line="240" w:lineRule="auto"/>
      <w:ind w:left="9260"/>
    </w:pP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9253" w14:textId="77777777" w:rsidR="00B031DE" w:rsidRPr="00517BCA" w:rsidRDefault="00B031DE" w:rsidP="00517BCA">
    <w:pPr>
      <w:pBdr>
        <w:top w:val="single" w:sz="4" w:space="1" w:color="auto"/>
      </w:pBdr>
      <w:tabs>
        <w:tab w:val="left" w:pos="2160"/>
      </w:tabs>
      <w:spacing w:before="0" w:after="0" w:line="240" w:lineRule="auto"/>
      <w:jc w:val="center"/>
      <w:rPr>
        <w:rFonts w:asciiTheme="majorHAnsi" w:hAnsiTheme="majorHAnsi" w:cstheme="majorHAnsi"/>
      </w:rPr>
    </w:pPr>
    <w:bookmarkStart w:id="1" w:name="_Hlk16687699"/>
    <w:bookmarkStart w:id="2" w:name="_Hlk16687700"/>
    <w:bookmarkStart w:id="3" w:name="_Hlk16687780"/>
    <w:bookmarkStart w:id="4" w:name="_Hlk16687781"/>
    <w:r w:rsidRPr="00517BCA">
      <w:rPr>
        <w:rFonts w:asciiTheme="majorHAnsi" w:hAnsiTheme="majorHAnsi" w:cstheme="majorHAnsi"/>
      </w:rPr>
      <w:t>2122 Campus Drive SE, Suite 100, Rochester MN 55904</w:t>
    </w:r>
  </w:p>
  <w:p w14:paraId="19AE26F6" w14:textId="77777777" w:rsidR="00B031DE" w:rsidRPr="00517BCA" w:rsidRDefault="00B031DE" w:rsidP="00517BCA">
    <w:pPr>
      <w:tabs>
        <w:tab w:val="left" w:pos="4230"/>
      </w:tabs>
      <w:spacing w:before="0" w:after="0" w:line="240" w:lineRule="auto"/>
      <w:jc w:val="center"/>
      <w:rPr>
        <w:rFonts w:asciiTheme="majorHAnsi" w:hAnsiTheme="majorHAnsi" w:cstheme="majorHAnsi"/>
      </w:rPr>
    </w:pPr>
    <w:r w:rsidRPr="00517BCA">
      <w:rPr>
        <w:rFonts w:asciiTheme="majorHAnsi" w:hAnsiTheme="majorHAnsi" w:cstheme="majorHAnsi"/>
      </w:rPr>
      <w:t>507 328-7100</w:t>
    </w:r>
  </w:p>
  <w:p w14:paraId="491976AB" w14:textId="36B207E1" w:rsidR="000B78DF" w:rsidRPr="00AA67AC" w:rsidRDefault="00620C72" w:rsidP="00517BCA">
    <w:pPr>
      <w:spacing w:before="0" w:after="0" w:line="240" w:lineRule="auto"/>
      <w:ind w:left="3960"/>
      <w:rPr>
        <w:rFonts w:asciiTheme="majorHAnsi" w:hAnsiTheme="majorHAnsi" w:cstheme="majorHAnsi"/>
      </w:rPr>
    </w:pPr>
    <w:hyperlink r:id="rId1" w:history="1">
      <w:r w:rsidRPr="001907B9">
        <w:rPr>
          <w:rStyle w:val="Hyperlink"/>
          <w:rFonts w:asciiTheme="majorHAnsi" w:hAnsiTheme="majorHAnsi" w:cstheme="majorHAnsi"/>
        </w:rPr>
        <w:t>www.olmstedcounty.gov</w:t>
      </w:r>
    </w:hyperlink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6D03" w14:textId="77777777" w:rsidR="00B95B88" w:rsidRDefault="00B95B88" w:rsidP="003356A9">
      <w:r>
        <w:separator/>
      </w:r>
    </w:p>
  </w:footnote>
  <w:footnote w:type="continuationSeparator" w:id="0">
    <w:p w14:paraId="6C6505B2" w14:textId="77777777" w:rsidR="00B95B88" w:rsidRDefault="00B95B88" w:rsidP="003356A9">
      <w:r>
        <w:continuationSeparator/>
      </w:r>
    </w:p>
  </w:footnote>
  <w:footnote w:type="continuationNotice" w:id="1">
    <w:p w14:paraId="579FC90F" w14:textId="77777777" w:rsidR="00B95B88" w:rsidRDefault="00B95B8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DFB5" w14:textId="77777777" w:rsidR="000B78DF" w:rsidRPr="00820FF5" w:rsidRDefault="000B78DF" w:rsidP="00D375BF">
    <w:pPr>
      <w:tabs>
        <w:tab w:val="left" w:pos="3672"/>
      </w:tabs>
      <w:spacing w:before="48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326E" w14:textId="77777777" w:rsidR="00B031DE" w:rsidRDefault="00200054" w:rsidP="00200054">
    <w:pPr>
      <w:spacing w:before="0" w:after="0" w:line="240" w:lineRule="auto"/>
    </w:pPr>
    <w:r>
      <w:rPr>
        <w:b/>
        <w:noProof/>
      </w:rPr>
      <w:drawing>
        <wp:inline distT="0" distB="0" distL="0" distR="0" wp14:anchorId="54E6B81A" wp14:editId="370E96B3">
          <wp:extent cx="1524889" cy="1143666"/>
          <wp:effectExtent l="0" t="0" r="0" b="0"/>
          <wp:docPr id="1" name="Picture 1" descr="A picture of the Olmsted County logo - a black and red circle with the county name in the midd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of the Olmsted County logo - a black and red circle with the county name in the middl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89" cy="114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6107" w:rsidRPr="00BC6107">
      <w:rPr>
        <w:b/>
      </w:rPr>
      <w:t xml:space="preserve"> </w:t>
    </w:r>
    <w:r w:rsidR="00BC6107">
      <w:rPr>
        <w:b/>
      </w:rPr>
      <w:t xml:space="preserve">                       </w:t>
    </w:r>
    <w:r>
      <w:rPr>
        <w:b/>
      </w:rPr>
      <w:t xml:space="preserve">           </w:t>
    </w:r>
    <w:r w:rsidR="00BC6107">
      <w:rPr>
        <w:b/>
      </w:rPr>
      <w:t xml:space="preserve">    </w:t>
    </w:r>
    <w:r w:rsidR="00BC6107" w:rsidRPr="00681E7E">
      <w:rPr>
        <w:b/>
      </w:rPr>
      <w:t xml:space="preserve">Olmsted </w:t>
    </w:r>
    <w:r w:rsidR="00BC6107">
      <w:rPr>
        <w:b/>
      </w:rPr>
      <w:t xml:space="preserve">County </w:t>
    </w:r>
    <w:r w:rsidR="00BC6107" w:rsidRPr="00681E7E">
      <w:rPr>
        <w:b/>
      </w:rPr>
      <w:t>Planning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36C2340"/>
    <w:lvl w:ilvl="0">
      <w:start w:val="1"/>
      <w:numFmt w:val="bullet"/>
      <w:pStyle w:val="ListBullet5"/>
      <w:lvlText w:val="•"/>
      <w:lvlJc w:val="left"/>
      <w:pPr>
        <w:ind w:left="1800" w:hanging="360"/>
      </w:pPr>
      <w:rPr>
        <w:rFonts w:ascii="Tahoma" w:hAnsi="Tahoma" w:hint="default"/>
        <w:sz w:val="24"/>
      </w:rPr>
    </w:lvl>
  </w:abstractNum>
  <w:abstractNum w:abstractNumId="1" w15:restartNumberingAfterBreak="0">
    <w:nsid w:val="FFFFFF81"/>
    <w:multiLevelType w:val="singleLevel"/>
    <w:tmpl w:val="786C2EE2"/>
    <w:lvl w:ilvl="0">
      <w:start w:val="1"/>
      <w:numFmt w:val="bullet"/>
      <w:pStyle w:val="ListBullet4"/>
      <w:lvlText w:val="•"/>
      <w:lvlJc w:val="left"/>
      <w:pPr>
        <w:ind w:left="1440" w:hanging="360"/>
      </w:pPr>
      <w:rPr>
        <w:rFonts w:ascii="Tahoma" w:hAnsi="Tahoma" w:hint="default"/>
        <w:sz w:val="24"/>
      </w:rPr>
    </w:lvl>
  </w:abstractNum>
  <w:abstractNum w:abstractNumId="2" w15:restartNumberingAfterBreak="0">
    <w:nsid w:val="FFFFFF82"/>
    <w:multiLevelType w:val="singleLevel"/>
    <w:tmpl w:val="C71635CC"/>
    <w:lvl w:ilvl="0">
      <w:start w:val="1"/>
      <w:numFmt w:val="bullet"/>
      <w:pStyle w:val="ListBullet3"/>
      <w:lvlText w:val="•"/>
      <w:lvlJc w:val="left"/>
      <w:pPr>
        <w:ind w:left="1080" w:hanging="360"/>
      </w:pPr>
      <w:rPr>
        <w:rFonts w:ascii="Tahoma" w:hAnsi="Tahoma" w:hint="default"/>
        <w:sz w:val="24"/>
      </w:rPr>
    </w:lvl>
  </w:abstractNum>
  <w:abstractNum w:abstractNumId="3" w15:restartNumberingAfterBreak="0">
    <w:nsid w:val="FFFFFF83"/>
    <w:multiLevelType w:val="singleLevel"/>
    <w:tmpl w:val="FECA562C"/>
    <w:lvl w:ilvl="0">
      <w:start w:val="1"/>
      <w:numFmt w:val="bullet"/>
      <w:pStyle w:val="ListBullet2"/>
      <w:lvlText w:val="•"/>
      <w:lvlJc w:val="left"/>
      <w:pPr>
        <w:ind w:left="720" w:hanging="360"/>
      </w:pPr>
      <w:rPr>
        <w:rFonts w:ascii="Tahoma" w:hAnsi="Tahoma" w:hint="default"/>
        <w:sz w:val="24"/>
      </w:rPr>
    </w:lvl>
  </w:abstractNum>
  <w:abstractNum w:abstractNumId="4" w15:restartNumberingAfterBreak="0">
    <w:nsid w:val="FFFFFF88"/>
    <w:multiLevelType w:val="singleLevel"/>
    <w:tmpl w:val="BD923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6084A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sz w:val="24"/>
      </w:rPr>
    </w:lvl>
  </w:abstractNum>
  <w:abstractNum w:abstractNumId="6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C146C"/>
    <w:multiLevelType w:val="multilevel"/>
    <w:tmpl w:val="3B1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144575">
    <w:abstractNumId w:val="5"/>
  </w:num>
  <w:num w:numId="2" w16cid:durableId="651180688">
    <w:abstractNumId w:val="3"/>
  </w:num>
  <w:num w:numId="3" w16cid:durableId="701050456">
    <w:abstractNumId w:val="2"/>
  </w:num>
  <w:num w:numId="4" w16cid:durableId="1949509839">
    <w:abstractNumId w:val="1"/>
  </w:num>
  <w:num w:numId="5" w16cid:durableId="1353414786">
    <w:abstractNumId w:val="0"/>
  </w:num>
  <w:num w:numId="6" w16cid:durableId="1069352804">
    <w:abstractNumId w:val="6"/>
  </w:num>
  <w:num w:numId="7" w16cid:durableId="256864252">
    <w:abstractNumId w:val="7"/>
  </w:num>
  <w:num w:numId="8" w16cid:durableId="20805206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88"/>
    <w:rsid w:val="00002DEC"/>
    <w:rsid w:val="000065AC"/>
    <w:rsid w:val="00006A0A"/>
    <w:rsid w:val="00013C23"/>
    <w:rsid w:val="000220DC"/>
    <w:rsid w:val="0003220F"/>
    <w:rsid w:val="00032EF7"/>
    <w:rsid w:val="0003626E"/>
    <w:rsid w:val="00041A8A"/>
    <w:rsid w:val="000477BD"/>
    <w:rsid w:val="00064B90"/>
    <w:rsid w:val="00070119"/>
    <w:rsid w:val="0007374A"/>
    <w:rsid w:val="00080404"/>
    <w:rsid w:val="00084742"/>
    <w:rsid w:val="0008546A"/>
    <w:rsid w:val="00085661"/>
    <w:rsid w:val="000913D1"/>
    <w:rsid w:val="000A7902"/>
    <w:rsid w:val="000B2E68"/>
    <w:rsid w:val="000B5115"/>
    <w:rsid w:val="000B6B0E"/>
    <w:rsid w:val="000B78DF"/>
    <w:rsid w:val="000C15C9"/>
    <w:rsid w:val="000C3708"/>
    <w:rsid w:val="000C3761"/>
    <w:rsid w:val="000C7373"/>
    <w:rsid w:val="000D1A31"/>
    <w:rsid w:val="000E06BE"/>
    <w:rsid w:val="000E0B5D"/>
    <w:rsid w:val="000E27BF"/>
    <w:rsid w:val="000E313B"/>
    <w:rsid w:val="000E3E9D"/>
    <w:rsid w:val="000F066E"/>
    <w:rsid w:val="000F4BB1"/>
    <w:rsid w:val="00102BFB"/>
    <w:rsid w:val="00135082"/>
    <w:rsid w:val="00135DC7"/>
    <w:rsid w:val="00147ED1"/>
    <w:rsid w:val="001500D6"/>
    <w:rsid w:val="00157C41"/>
    <w:rsid w:val="00163A94"/>
    <w:rsid w:val="001661D9"/>
    <w:rsid w:val="001708EC"/>
    <w:rsid w:val="001925A8"/>
    <w:rsid w:val="0019673D"/>
    <w:rsid w:val="001A13A1"/>
    <w:rsid w:val="001A3BBB"/>
    <w:rsid w:val="001A46BB"/>
    <w:rsid w:val="001A5DC3"/>
    <w:rsid w:val="001A7C5C"/>
    <w:rsid w:val="001B04DB"/>
    <w:rsid w:val="001C55E0"/>
    <w:rsid w:val="001D3EFA"/>
    <w:rsid w:val="001E013D"/>
    <w:rsid w:val="001E5D9C"/>
    <w:rsid w:val="001E5ECF"/>
    <w:rsid w:val="001F5B78"/>
    <w:rsid w:val="00200054"/>
    <w:rsid w:val="002109DF"/>
    <w:rsid w:val="00211CA3"/>
    <w:rsid w:val="00222A49"/>
    <w:rsid w:val="002242DC"/>
    <w:rsid w:val="0022552E"/>
    <w:rsid w:val="0023076C"/>
    <w:rsid w:val="0023790D"/>
    <w:rsid w:val="00241C5C"/>
    <w:rsid w:val="002423ED"/>
    <w:rsid w:val="00260B3E"/>
    <w:rsid w:val="00261247"/>
    <w:rsid w:val="00263527"/>
    <w:rsid w:val="00264652"/>
    <w:rsid w:val="00267AA8"/>
    <w:rsid w:val="0027038C"/>
    <w:rsid w:val="00270421"/>
    <w:rsid w:val="00270D2F"/>
    <w:rsid w:val="002710EC"/>
    <w:rsid w:val="00276078"/>
    <w:rsid w:val="00282084"/>
    <w:rsid w:val="00283DC8"/>
    <w:rsid w:val="00291052"/>
    <w:rsid w:val="00297C28"/>
    <w:rsid w:val="002A061F"/>
    <w:rsid w:val="002A153B"/>
    <w:rsid w:val="002B4306"/>
    <w:rsid w:val="002B5E79"/>
    <w:rsid w:val="002C0859"/>
    <w:rsid w:val="002C1DC5"/>
    <w:rsid w:val="002C4048"/>
    <w:rsid w:val="002F0AC1"/>
    <w:rsid w:val="002F1947"/>
    <w:rsid w:val="0030441C"/>
    <w:rsid w:val="00306D94"/>
    <w:rsid w:val="00307D31"/>
    <w:rsid w:val="003125DF"/>
    <w:rsid w:val="00322673"/>
    <w:rsid w:val="00323C8C"/>
    <w:rsid w:val="00324943"/>
    <w:rsid w:val="00330B21"/>
    <w:rsid w:val="00332671"/>
    <w:rsid w:val="003356A9"/>
    <w:rsid w:val="00335736"/>
    <w:rsid w:val="00337FCF"/>
    <w:rsid w:val="003415F9"/>
    <w:rsid w:val="0034539F"/>
    <w:rsid w:val="00345469"/>
    <w:rsid w:val="0035250E"/>
    <w:rsid w:val="00352C51"/>
    <w:rsid w:val="00353630"/>
    <w:rsid w:val="003563D2"/>
    <w:rsid w:val="00360AD3"/>
    <w:rsid w:val="00371098"/>
    <w:rsid w:val="00371A0B"/>
    <w:rsid w:val="00376FA5"/>
    <w:rsid w:val="00377BF7"/>
    <w:rsid w:val="00386F01"/>
    <w:rsid w:val="00386FBA"/>
    <w:rsid w:val="003A1479"/>
    <w:rsid w:val="003A1813"/>
    <w:rsid w:val="003B3ED4"/>
    <w:rsid w:val="003B6BD6"/>
    <w:rsid w:val="003B7D82"/>
    <w:rsid w:val="003C4644"/>
    <w:rsid w:val="003C5BE3"/>
    <w:rsid w:val="003D1577"/>
    <w:rsid w:val="003D6713"/>
    <w:rsid w:val="003F11DA"/>
    <w:rsid w:val="003F1E2A"/>
    <w:rsid w:val="003F21DB"/>
    <w:rsid w:val="003F2676"/>
    <w:rsid w:val="0040419D"/>
    <w:rsid w:val="00407972"/>
    <w:rsid w:val="00413A7C"/>
    <w:rsid w:val="004141DD"/>
    <w:rsid w:val="00417EF6"/>
    <w:rsid w:val="00421E66"/>
    <w:rsid w:val="004411BC"/>
    <w:rsid w:val="004479A7"/>
    <w:rsid w:val="00447A85"/>
    <w:rsid w:val="0045258B"/>
    <w:rsid w:val="004568F1"/>
    <w:rsid w:val="00456CB0"/>
    <w:rsid w:val="00461804"/>
    <w:rsid w:val="00466810"/>
    <w:rsid w:val="00471989"/>
    <w:rsid w:val="00483A1A"/>
    <w:rsid w:val="00483DD2"/>
    <w:rsid w:val="004909D9"/>
    <w:rsid w:val="00493D9F"/>
    <w:rsid w:val="00494E6F"/>
    <w:rsid w:val="004A163E"/>
    <w:rsid w:val="004A1B4D"/>
    <w:rsid w:val="004A44EA"/>
    <w:rsid w:val="004A58DD"/>
    <w:rsid w:val="004A6119"/>
    <w:rsid w:val="004B1828"/>
    <w:rsid w:val="004B47DC"/>
    <w:rsid w:val="004D10BF"/>
    <w:rsid w:val="004D206C"/>
    <w:rsid w:val="004D4789"/>
    <w:rsid w:val="004E56AB"/>
    <w:rsid w:val="004E75B3"/>
    <w:rsid w:val="004F04BA"/>
    <w:rsid w:val="004F0EFF"/>
    <w:rsid w:val="004F2ECB"/>
    <w:rsid w:val="004F421C"/>
    <w:rsid w:val="005005CB"/>
    <w:rsid w:val="0050093F"/>
    <w:rsid w:val="00514788"/>
    <w:rsid w:val="00517BCA"/>
    <w:rsid w:val="00521703"/>
    <w:rsid w:val="005308BC"/>
    <w:rsid w:val="005320E4"/>
    <w:rsid w:val="00536963"/>
    <w:rsid w:val="0054120A"/>
    <w:rsid w:val="0054371B"/>
    <w:rsid w:val="00552233"/>
    <w:rsid w:val="00555B10"/>
    <w:rsid w:val="00556501"/>
    <w:rsid w:val="0056615E"/>
    <w:rsid w:val="005666F2"/>
    <w:rsid w:val="00584EBD"/>
    <w:rsid w:val="00592E2C"/>
    <w:rsid w:val="0059707F"/>
    <w:rsid w:val="005A0693"/>
    <w:rsid w:val="005B2DDF"/>
    <w:rsid w:val="005B4AE7"/>
    <w:rsid w:val="005B53B0"/>
    <w:rsid w:val="005B6FC8"/>
    <w:rsid w:val="005B7D64"/>
    <w:rsid w:val="005C2165"/>
    <w:rsid w:val="005C3102"/>
    <w:rsid w:val="005D06C5"/>
    <w:rsid w:val="005D20C8"/>
    <w:rsid w:val="005D45B3"/>
    <w:rsid w:val="005E2257"/>
    <w:rsid w:val="005E384B"/>
    <w:rsid w:val="005F1471"/>
    <w:rsid w:val="005F1BBC"/>
    <w:rsid w:val="005F3C79"/>
    <w:rsid w:val="005F6005"/>
    <w:rsid w:val="006064AB"/>
    <w:rsid w:val="00607A51"/>
    <w:rsid w:val="00620C72"/>
    <w:rsid w:val="0063275C"/>
    <w:rsid w:val="00636D1A"/>
    <w:rsid w:val="006423D6"/>
    <w:rsid w:val="00642740"/>
    <w:rsid w:val="00647616"/>
    <w:rsid w:val="00655345"/>
    <w:rsid w:val="00672536"/>
    <w:rsid w:val="00673EA0"/>
    <w:rsid w:val="00674325"/>
    <w:rsid w:val="00675CC5"/>
    <w:rsid w:val="0068006F"/>
    <w:rsid w:val="0068163E"/>
    <w:rsid w:val="006818AF"/>
    <w:rsid w:val="00681E7E"/>
    <w:rsid w:val="00681EDC"/>
    <w:rsid w:val="00683C71"/>
    <w:rsid w:val="0068649F"/>
    <w:rsid w:val="00687189"/>
    <w:rsid w:val="00691956"/>
    <w:rsid w:val="00697CCC"/>
    <w:rsid w:val="00697E0F"/>
    <w:rsid w:val="006A33EC"/>
    <w:rsid w:val="006B13B7"/>
    <w:rsid w:val="006B1472"/>
    <w:rsid w:val="006B2942"/>
    <w:rsid w:val="006B3994"/>
    <w:rsid w:val="006B67F3"/>
    <w:rsid w:val="006C0E45"/>
    <w:rsid w:val="006C3F81"/>
    <w:rsid w:val="006C682F"/>
    <w:rsid w:val="006D3AC1"/>
    <w:rsid w:val="006D4829"/>
    <w:rsid w:val="006F293F"/>
    <w:rsid w:val="006F3B38"/>
    <w:rsid w:val="00702EA4"/>
    <w:rsid w:val="007137A4"/>
    <w:rsid w:val="00715983"/>
    <w:rsid w:val="007318E4"/>
    <w:rsid w:val="00735C5D"/>
    <w:rsid w:val="00740D98"/>
    <w:rsid w:val="00741D55"/>
    <w:rsid w:val="0074778B"/>
    <w:rsid w:val="00762E40"/>
    <w:rsid w:val="0077225E"/>
    <w:rsid w:val="0077485A"/>
    <w:rsid w:val="007751F2"/>
    <w:rsid w:val="00777A0D"/>
    <w:rsid w:val="00787C89"/>
    <w:rsid w:val="00792AC3"/>
    <w:rsid w:val="00793F48"/>
    <w:rsid w:val="007A02C5"/>
    <w:rsid w:val="007B35B2"/>
    <w:rsid w:val="007C47E9"/>
    <w:rsid w:val="007D1FFF"/>
    <w:rsid w:val="007D36C7"/>
    <w:rsid w:val="007D42A0"/>
    <w:rsid w:val="007D5FF7"/>
    <w:rsid w:val="007D7853"/>
    <w:rsid w:val="007E38C5"/>
    <w:rsid w:val="007E685C"/>
    <w:rsid w:val="007F6108"/>
    <w:rsid w:val="007F7097"/>
    <w:rsid w:val="007F7636"/>
    <w:rsid w:val="00803987"/>
    <w:rsid w:val="008067A6"/>
    <w:rsid w:val="0081133E"/>
    <w:rsid w:val="008147BE"/>
    <w:rsid w:val="008176CF"/>
    <w:rsid w:val="00820FF5"/>
    <w:rsid w:val="00824251"/>
    <w:rsid w:val="008251B3"/>
    <w:rsid w:val="00841D91"/>
    <w:rsid w:val="008444C2"/>
    <w:rsid w:val="00844DD6"/>
    <w:rsid w:val="00844F1D"/>
    <w:rsid w:val="00846DA3"/>
    <w:rsid w:val="0084749F"/>
    <w:rsid w:val="00847576"/>
    <w:rsid w:val="008613F4"/>
    <w:rsid w:val="00864202"/>
    <w:rsid w:val="00864F4B"/>
    <w:rsid w:val="0086533A"/>
    <w:rsid w:val="008734A9"/>
    <w:rsid w:val="00876086"/>
    <w:rsid w:val="00882436"/>
    <w:rsid w:val="008A12B3"/>
    <w:rsid w:val="008A361E"/>
    <w:rsid w:val="008B5443"/>
    <w:rsid w:val="008C7424"/>
    <w:rsid w:val="008C7EEB"/>
    <w:rsid w:val="008D0BE3"/>
    <w:rsid w:val="008D0DEF"/>
    <w:rsid w:val="008D2256"/>
    <w:rsid w:val="008D2B37"/>
    <w:rsid w:val="008D4409"/>
    <w:rsid w:val="008D5E3D"/>
    <w:rsid w:val="008D6509"/>
    <w:rsid w:val="009022D9"/>
    <w:rsid w:val="00904B82"/>
    <w:rsid w:val="0090737A"/>
    <w:rsid w:val="0091014D"/>
    <w:rsid w:val="0091017B"/>
    <w:rsid w:val="00911BF4"/>
    <w:rsid w:val="00933447"/>
    <w:rsid w:val="00935F7F"/>
    <w:rsid w:val="009437B3"/>
    <w:rsid w:val="009528F2"/>
    <w:rsid w:val="009538FC"/>
    <w:rsid w:val="00954062"/>
    <w:rsid w:val="00956B55"/>
    <w:rsid w:val="0096108C"/>
    <w:rsid w:val="00963BA0"/>
    <w:rsid w:val="00967764"/>
    <w:rsid w:val="009810EE"/>
    <w:rsid w:val="00984CC9"/>
    <w:rsid w:val="0099233F"/>
    <w:rsid w:val="00994DE9"/>
    <w:rsid w:val="009A1C46"/>
    <w:rsid w:val="009A6551"/>
    <w:rsid w:val="009B0EEC"/>
    <w:rsid w:val="009B54A0"/>
    <w:rsid w:val="009C6405"/>
    <w:rsid w:val="009E087F"/>
    <w:rsid w:val="00A05CA7"/>
    <w:rsid w:val="00A110D3"/>
    <w:rsid w:val="00A1114A"/>
    <w:rsid w:val="00A128F7"/>
    <w:rsid w:val="00A178B2"/>
    <w:rsid w:val="00A24EB9"/>
    <w:rsid w:val="00A27DDC"/>
    <w:rsid w:val="00A30799"/>
    <w:rsid w:val="00A416E6"/>
    <w:rsid w:val="00A52B9C"/>
    <w:rsid w:val="00A57FE8"/>
    <w:rsid w:val="00A62B00"/>
    <w:rsid w:val="00A64211"/>
    <w:rsid w:val="00A64ECE"/>
    <w:rsid w:val="00A66185"/>
    <w:rsid w:val="00A71CAD"/>
    <w:rsid w:val="00A72A62"/>
    <w:rsid w:val="00A731A2"/>
    <w:rsid w:val="00A827C1"/>
    <w:rsid w:val="00A920FE"/>
    <w:rsid w:val="00A93F40"/>
    <w:rsid w:val="00A96F93"/>
    <w:rsid w:val="00AA3382"/>
    <w:rsid w:val="00AA67AC"/>
    <w:rsid w:val="00AB67D9"/>
    <w:rsid w:val="00AD6A35"/>
    <w:rsid w:val="00AE12C2"/>
    <w:rsid w:val="00AE5772"/>
    <w:rsid w:val="00AF22AD"/>
    <w:rsid w:val="00AF5107"/>
    <w:rsid w:val="00B031DE"/>
    <w:rsid w:val="00B06264"/>
    <w:rsid w:val="00B07C8F"/>
    <w:rsid w:val="00B1107A"/>
    <w:rsid w:val="00B127DD"/>
    <w:rsid w:val="00B12BA6"/>
    <w:rsid w:val="00B1363B"/>
    <w:rsid w:val="00B15638"/>
    <w:rsid w:val="00B20061"/>
    <w:rsid w:val="00B2706F"/>
    <w:rsid w:val="00B275D4"/>
    <w:rsid w:val="00B348F3"/>
    <w:rsid w:val="00B433F5"/>
    <w:rsid w:val="00B469C8"/>
    <w:rsid w:val="00B54B76"/>
    <w:rsid w:val="00B56A62"/>
    <w:rsid w:val="00B63ADD"/>
    <w:rsid w:val="00B64678"/>
    <w:rsid w:val="00B64F18"/>
    <w:rsid w:val="00B74933"/>
    <w:rsid w:val="00B75051"/>
    <w:rsid w:val="00B8468C"/>
    <w:rsid w:val="00B85098"/>
    <w:rsid w:val="00B859DE"/>
    <w:rsid w:val="00B90CB0"/>
    <w:rsid w:val="00B95B88"/>
    <w:rsid w:val="00BA329F"/>
    <w:rsid w:val="00BB1B5C"/>
    <w:rsid w:val="00BB2275"/>
    <w:rsid w:val="00BC6107"/>
    <w:rsid w:val="00BC656B"/>
    <w:rsid w:val="00BD0E59"/>
    <w:rsid w:val="00BD3B2A"/>
    <w:rsid w:val="00BD6211"/>
    <w:rsid w:val="00BF1E49"/>
    <w:rsid w:val="00C10E0F"/>
    <w:rsid w:val="00C12D2F"/>
    <w:rsid w:val="00C13D97"/>
    <w:rsid w:val="00C23A22"/>
    <w:rsid w:val="00C277A8"/>
    <w:rsid w:val="00C309AE"/>
    <w:rsid w:val="00C365CE"/>
    <w:rsid w:val="00C417EB"/>
    <w:rsid w:val="00C427F8"/>
    <w:rsid w:val="00C42D92"/>
    <w:rsid w:val="00C4449B"/>
    <w:rsid w:val="00C45270"/>
    <w:rsid w:val="00C528AE"/>
    <w:rsid w:val="00C52F15"/>
    <w:rsid w:val="00C62777"/>
    <w:rsid w:val="00C83748"/>
    <w:rsid w:val="00C86419"/>
    <w:rsid w:val="00C87AE2"/>
    <w:rsid w:val="00CA37D2"/>
    <w:rsid w:val="00CB6830"/>
    <w:rsid w:val="00CC6AD0"/>
    <w:rsid w:val="00CE45B0"/>
    <w:rsid w:val="00CE5C76"/>
    <w:rsid w:val="00CF4969"/>
    <w:rsid w:val="00D0014D"/>
    <w:rsid w:val="00D22819"/>
    <w:rsid w:val="00D26209"/>
    <w:rsid w:val="00D31BE7"/>
    <w:rsid w:val="00D375BF"/>
    <w:rsid w:val="00D46F82"/>
    <w:rsid w:val="00D50D30"/>
    <w:rsid w:val="00D511F0"/>
    <w:rsid w:val="00D522DF"/>
    <w:rsid w:val="00D54EE5"/>
    <w:rsid w:val="00D62F84"/>
    <w:rsid w:val="00D63F82"/>
    <w:rsid w:val="00D640FC"/>
    <w:rsid w:val="00D70D81"/>
    <w:rsid w:val="00D70F7D"/>
    <w:rsid w:val="00D71809"/>
    <w:rsid w:val="00D71A5C"/>
    <w:rsid w:val="00D727CF"/>
    <w:rsid w:val="00D734F6"/>
    <w:rsid w:val="00D73BF9"/>
    <w:rsid w:val="00D80750"/>
    <w:rsid w:val="00D815B3"/>
    <w:rsid w:val="00D92929"/>
    <w:rsid w:val="00D93C2E"/>
    <w:rsid w:val="00D970A5"/>
    <w:rsid w:val="00DA10AB"/>
    <w:rsid w:val="00DB4967"/>
    <w:rsid w:val="00DB58D3"/>
    <w:rsid w:val="00DC737F"/>
    <w:rsid w:val="00DE0A68"/>
    <w:rsid w:val="00DE15E3"/>
    <w:rsid w:val="00DE1AD7"/>
    <w:rsid w:val="00DE50CB"/>
    <w:rsid w:val="00E035E4"/>
    <w:rsid w:val="00E06559"/>
    <w:rsid w:val="00E15623"/>
    <w:rsid w:val="00E16854"/>
    <w:rsid w:val="00E17A5B"/>
    <w:rsid w:val="00E20361"/>
    <w:rsid w:val="00E206AE"/>
    <w:rsid w:val="00E22551"/>
    <w:rsid w:val="00E23397"/>
    <w:rsid w:val="00E32CD7"/>
    <w:rsid w:val="00E34055"/>
    <w:rsid w:val="00E35FCE"/>
    <w:rsid w:val="00E44EE1"/>
    <w:rsid w:val="00E468C0"/>
    <w:rsid w:val="00E5241D"/>
    <w:rsid w:val="00E5680C"/>
    <w:rsid w:val="00E6011A"/>
    <w:rsid w:val="00E602F8"/>
    <w:rsid w:val="00E60796"/>
    <w:rsid w:val="00E61A16"/>
    <w:rsid w:val="00E740CC"/>
    <w:rsid w:val="00E76267"/>
    <w:rsid w:val="00E84FE4"/>
    <w:rsid w:val="00E855A6"/>
    <w:rsid w:val="00E90340"/>
    <w:rsid w:val="00E91E70"/>
    <w:rsid w:val="00EA535B"/>
    <w:rsid w:val="00EB20B5"/>
    <w:rsid w:val="00EB7EDE"/>
    <w:rsid w:val="00EC579D"/>
    <w:rsid w:val="00ED4D46"/>
    <w:rsid w:val="00ED5BDC"/>
    <w:rsid w:val="00ED7DAC"/>
    <w:rsid w:val="00EE21C6"/>
    <w:rsid w:val="00EE7BAB"/>
    <w:rsid w:val="00EF02DD"/>
    <w:rsid w:val="00EF2FE2"/>
    <w:rsid w:val="00F01BDF"/>
    <w:rsid w:val="00F04A22"/>
    <w:rsid w:val="00F05A5F"/>
    <w:rsid w:val="00F067A6"/>
    <w:rsid w:val="00F121D0"/>
    <w:rsid w:val="00F14205"/>
    <w:rsid w:val="00F16FA8"/>
    <w:rsid w:val="00F2135D"/>
    <w:rsid w:val="00F276C0"/>
    <w:rsid w:val="00F31435"/>
    <w:rsid w:val="00F339CD"/>
    <w:rsid w:val="00F52F4E"/>
    <w:rsid w:val="00F536B7"/>
    <w:rsid w:val="00F63ABC"/>
    <w:rsid w:val="00F64190"/>
    <w:rsid w:val="00F70C03"/>
    <w:rsid w:val="00F7472B"/>
    <w:rsid w:val="00F84567"/>
    <w:rsid w:val="00F9084A"/>
    <w:rsid w:val="00FB567B"/>
    <w:rsid w:val="00FB56C4"/>
    <w:rsid w:val="00FB6E40"/>
    <w:rsid w:val="00FC5D33"/>
    <w:rsid w:val="00FD1CCB"/>
    <w:rsid w:val="00FD41D4"/>
    <w:rsid w:val="00FF3C34"/>
    <w:rsid w:val="02C1D874"/>
    <w:rsid w:val="040019D3"/>
    <w:rsid w:val="0400C910"/>
    <w:rsid w:val="0AAD9859"/>
    <w:rsid w:val="1E6CADD4"/>
    <w:rsid w:val="4D0948C2"/>
    <w:rsid w:val="51FD99A2"/>
    <w:rsid w:val="5AE36DF2"/>
    <w:rsid w:val="5ED6B62D"/>
    <w:rsid w:val="61E0E125"/>
    <w:rsid w:val="6961787E"/>
    <w:rsid w:val="6CFDAFF5"/>
    <w:rsid w:val="782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883CCCC"/>
  <w15:docId w15:val="{5C8A7FE0-5805-489B-9DC0-8CACE908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FCF"/>
    <w:pPr>
      <w:spacing w:before="200" w:after="200"/>
    </w:pPr>
    <w:rPr>
      <w:rFonts w:ascii="Tahoma" w:hAnsi="Tahoma"/>
      <w:sz w:val="24"/>
    </w:rPr>
  </w:style>
  <w:style w:type="paragraph" w:styleId="Heading1">
    <w:name w:val="heading 1"/>
    <w:next w:val="Normal"/>
    <w:link w:val="Heading1Char"/>
    <w:uiPriority w:val="1"/>
    <w:qFormat/>
    <w:rsid w:val="00C86419"/>
    <w:pPr>
      <w:keepNext/>
      <w:keepLines/>
      <w:tabs>
        <w:tab w:val="left" w:pos="3345"/>
      </w:tabs>
      <w:spacing w:before="240" w:after="120"/>
      <w:outlineLvl w:val="0"/>
    </w:pPr>
    <w:rPr>
      <w:b/>
      <w:color w:val="00487E"/>
      <w:sz w:val="40"/>
      <w:szCs w:val="40"/>
      <w:lang w:bidi="ar-SA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C86419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C86419"/>
    <w:pPr>
      <w:outlineLvl w:val="2"/>
    </w:pPr>
    <w:rPr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9022D9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9022D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9022D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022D9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022D9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022D9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6419"/>
    <w:rPr>
      <w:b/>
      <w:color w:val="00487E"/>
      <w:sz w:val="40"/>
      <w:szCs w:val="40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C86419"/>
    <w:rPr>
      <w:b/>
      <w:color w:val="00487E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C86419"/>
    <w:rPr>
      <w:b/>
      <w:color w:val="00487E"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9022D9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9022D9"/>
    <w:rPr>
      <w:rFonts w:asciiTheme="majorHAnsi" w:eastAsiaTheme="majorEastAsia" w:hAnsiTheme="majorHAnsi" w:cstheme="majorBidi"/>
      <w:b/>
      <w:color w:val="000000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9022D9"/>
    <w:rPr>
      <w:rFonts w:asciiTheme="majorHAnsi" w:eastAsiaTheme="majorEastAsia" w:hAnsiTheme="majorHAnsi" w:cstheme="majorBidi"/>
      <w:i/>
      <w:iCs/>
      <w:color w:val="000000" w:themeColor="text2"/>
      <w:sz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022D9"/>
    <w:rPr>
      <w:rFonts w:asciiTheme="majorHAnsi" w:eastAsiaTheme="majorEastAsia" w:hAnsiTheme="majorHAnsi" w:cstheme="majorBidi"/>
      <w:i/>
      <w:iCs/>
      <w:color w:val="0070CB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022D9"/>
    <w:rPr>
      <w:rFonts w:asciiTheme="majorHAnsi" w:eastAsiaTheme="majorEastAsia" w:hAnsiTheme="majorHAnsi" w:cstheme="majorBidi"/>
      <w:color w:val="0070CB" w:themeColor="text1" w:themeTint="BF"/>
      <w:sz w:val="24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022D9"/>
    <w:rPr>
      <w:rFonts w:asciiTheme="majorHAnsi" w:eastAsiaTheme="majorEastAsia" w:hAnsiTheme="majorHAnsi" w:cstheme="majorBidi"/>
      <w:i/>
      <w:iCs/>
      <w:color w:val="0070CB" w:themeColor="text1" w:themeTint="BF"/>
      <w:sz w:val="24"/>
    </w:rPr>
  </w:style>
  <w:style w:type="paragraph" w:customStyle="1" w:styleId="NoParagraphStyle">
    <w:name w:val="[No Paragraph Style]"/>
    <w:semiHidden/>
    <w:rsid w:val="009022D9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022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22D9"/>
    <w:rPr>
      <w:rFonts w:ascii="Segoe UI" w:hAnsi="Segoe UI" w:cs="Segoe UI"/>
      <w:sz w:val="18"/>
      <w:szCs w:val="18"/>
    </w:rPr>
  </w:style>
  <w:style w:type="paragraph" w:styleId="BodyText3">
    <w:name w:val="Body Text 3"/>
    <w:link w:val="BodyText3Char"/>
    <w:semiHidden/>
    <w:qFormat/>
    <w:rsid w:val="009022D9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022D9"/>
    <w:rPr>
      <w:sz w:val="16"/>
      <w:szCs w:val="16"/>
    </w:rPr>
  </w:style>
  <w:style w:type="paragraph" w:customStyle="1" w:styleId="BodytextClosingname">
    <w:name w:val="Body text Closing name"/>
    <w:basedOn w:val="Normal"/>
    <w:semiHidden/>
    <w:qFormat/>
    <w:rsid w:val="009022D9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9022D9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9022D9"/>
    <w:pPr>
      <w:spacing w:before="480" w:after="240"/>
      <w:contextualSpacing/>
    </w:p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9022D9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9022D9"/>
    <w:rPr>
      <w:rFonts w:ascii="Tahoma" w:hAnsi="Tahoma"/>
      <w:b/>
      <w:sz w:val="24"/>
      <w:lang w:val="en-GB"/>
    </w:rPr>
  </w:style>
  <w:style w:type="paragraph" w:styleId="Caption">
    <w:name w:val="caption"/>
    <w:basedOn w:val="Normal"/>
    <w:next w:val="Normal"/>
    <w:uiPriority w:val="29"/>
    <w:qFormat/>
    <w:rsid w:val="009022D9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Closing">
    <w:name w:val="Closing"/>
    <w:basedOn w:val="Normal"/>
    <w:link w:val="ClosingChar"/>
    <w:semiHidden/>
    <w:qFormat/>
    <w:rsid w:val="009022D9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9022D9"/>
    <w:rPr>
      <w:rFonts w:ascii="Tahoma" w:hAnsi="Tahoma"/>
      <w:sz w:val="24"/>
    </w:rPr>
  </w:style>
  <w:style w:type="character" w:styleId="Emphasis">
    <w:name w:val="Emphasis"/>
    <w:uiPriority w:val="2"/>
    <w:qFormat/>
    <w:rsid w:val="009022D9"/>
    <w:rPr>
      <w:i/>
    </w:rPr>
  </w:style>
  <w:style w:type="paragraph" w:styleId="Footer">
    <w:name w:val="footer"/>
    <w:link w:val="FooterChar"/>
    <w:uiPriority w:val="99"/>
    <w:qFormat/>
    <w:rsid w:val="009022D9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D9"/>
  </w:style>
  <w:style w:type="paragraph" w:styleId="Header">
    <w:name w:val="header"/>
    <w:basedOn w:val="Normal"/>
    <w:link w:val="HeaderChar"/>
    <w:uiPriority w:val="99"/>
    <w:unhideWhenUsed/>
    <w:rsid w:val="009022D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D9"/>
    <w:rPr>
      <w:rFonts w:ascii="Tahoma" w:hAnsi="Tahoma"/>
      <w:sz w:val="24"/>
    </w:rPr>
  </w:style>
  <w:style w:type="character" w:styleId="Hyperlink">
    <w:name w:val="Hyperlink"/>
    <w:basedOn w:val="DefaultParagraphFont"/>
    <w:uiPriority w:val="99"/>
    <w:semiHidden/>
    <w:rsid w:val="009022D9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9022D9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2D9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2D9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Bullet">
    <w:name w:val="List Bullet"/>
    <w:basedOn w:val="Normal"/>
    <w:unhideWhenUsed/>
    <w:rsid w:val="009022D9"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rsid w:val="009022D9"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rsid w:val="009022D9"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rsid w:val="009022D9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9022D9"/>
    <w:pPr>
      <w:numPr>
        <w:numId w:val="5"/>
      </w:numPr>
      <w:contextualSpacing/>
    </w:pPr>
  </w:style>
  <w:style w:type="paragraph" w:styleId="ListParagraph">
    <w:name w:val="List Paragraph"/>
    <w:basedOn w:val="Normal"/>
    <w:qFormat/>
    <w:rsid w:val="009022D9"/>
    <w:pPr>
      <w:numPr>
        <w:numId w:val="6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9022D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9022D9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022D9"/>
    <w:rPr>
      <w:rFonts w:asciiTheme="minorHAnsi" w:hAnsiTheme="minorHAnsi"/>
      <w:i/>
      <w:iCs/>
      <w:sz w:val="24"/>
      <w:lang w:bidi="ar-SA"/>
    </w:rPr>
  </w:style>
  <w:style w:type="character" w:styleId="Strong">
    <w:name w:val="Strong"/>
    <w:uiPriority w:val="22"/>
    <w:rsid w:val="009022D9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9022D9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9022D9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9022D9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9022D9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022D9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9022D9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A67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4205"/>
    <w:pPr>
      <w:spacing w:before="0" w:line="240" w:lineRule="auto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mstedcounty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be8a0-c631-41a3-8db9-17817827d70c" xsi:nil="true"/>
    <lcf76f155ced4ddcb4097134ff3c332f xmlns="e4437826-0aac-49f9-9e13-8e3c96a2f0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0960C4352D4BBED53A757C81177B" ma:contentTypeVersion="16" ma:contentTypeDescription="Create a new document." ma:contentTypeScope="" ma:versionID="5577659fe1a6df9459523b569fef7a0f">
  <xsd:schema xmlns:xsd="http://www.w3.org/2001/XMLSchema" xmlns:xs="http://www.w3.org/2001/XMLSchema" xmlns:p="http://schemas.microsoft.com/office/2006/metadata/properties" xmlns:ns2="e4437826-0aac-49f9-9e13-8e3c96a2f0f3" xmlns:ns3="d16be8a0-c631-41a3-8db9-17817827d70c" targetNamespace="http://schemas.microsoft.com/office/2006/metadata/properties" ma:root="true" ma:fieldsID="bc496b8dd5afd98fbefd3c8bb063ec4f" ns2:_="" ns3:_="">
    <xsd:import namespace="e4437826-0aac-49f9-9e13-8e3c96a2f0f3"/>
    <xsd:import namespace="d16be8a0-c631-41a3-8db9-17817827d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37826-0aac-49f9-9e13-8e3c96a2f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f7e8c6-b675-4d8d-b185-cf4502cd7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e8a0-c631-41a3-8db9-17817827d70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593f93-f901-4c87-86f7-c26cc9b91efc}" ma:internalName="TaxCatchAll" ma:showField="CatchAllData" ma:web="d16be8a0-c631-41a3-8db9-17817827d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CBC3-116A-4330-8632-92E7DF73EB88}">
  <ds:schemaRefs>
    <ds:schemaRef ds:uri="http://schemas.openxmlformats.org/package/2006/metadata/core-properties"/>
    <ds:schemaRef ds:uri="http://purl.org/dc/dcmitype/"/>
    <ds:schemaRef ds:uri="e4437826-0aac-49f9-9e13-8e3c96a2f0f3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16be8a0-c631-41a3-8db9-17817827d7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FAADBA-0C1D-48A4-A5D0-973F7D0C3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F37C1-6005-4A09-86CE-7843B72E4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37826-0aac-49f9-9e13-8e3c96a2f0f3"/>
    <ds:schemaRef ds:uri="d16be8a0-c631-41a3-8db9-17817827d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42136-7E4E-48C3-97FB-AD14495E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1010</Words>
  <Characters>5783</Characters>
  <Application>Microsoft Office Word</Application>
  <DocSecurity>2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Olmsted County Building Well Septic Fees</vt:lpstr>
    </vt:vector>
  </TitlesOfParts>
  <Manager/>
  <Company>Olmsted County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Olmsted County Building Well Septic Fees</dc:title>
  <dc:subject>Olmsted County Building Well Septic Fees</dc:subject>
  <dc:creator>Olmsted County</dc:creator>
  <cp:keywords>building well septic fees</cp:keywords>
  <dc:description>508C</dc:description>
  <cp:lastModifiedBy>Stephanie Kruckenberg</cp:lastModifiedBy>
  <cp:revision>4</cp:revision>
  <cp:lastPrinted>2021-05-28T21:17:00Z</cp:lastPrinted>
  <dcterms:created xsi:type="dcterms:W3CDTF">2025-07-28T15:41:00Z</dcterms:created>
  <dcterms:modified xsi:type="dcterms:W3CDTF">2025-07-28T15:43:00Z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0x010100F0160960C4352D4BBED53A757C81177B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id="Microsoft.Office.RecordsManagement.PolicyFeatures.Expiration.Formula.BuiltIn"&gt;&lt;number&gt;6&lt;/number&gt;&lt;property&gt;Modified&lt;/property&gt;&lt;period&gt;years&lt;/period&gt;&lt;/formula&gt;</vt:lpwstr>
  </property>
  <property fmtid="{D5CDD505-2E9C-101B-9397-08002B2CF9AE}" pid="5" name="URL">
    <vt:lpwstr/>
  </property>
  <property fmtid="{D5CDD505-2E9C-101B-9397-08002B2CF9AE}" pid="6" name="MediaServiceImageTags">
    <vt:lpwstr/>
  </property>
</Properties>
</file>